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60" w:after="160"/>
        <w:jc w:val="center"/>
      </w:pPr>
      <w:r>
        <w:rPr>
          <w:rFonts w:ascii="Calibri" w:hAnsi="Calibri"/>
          <w:b/>
          <w:i w:val="0"/>
          <w:color w:val="7A2E2A"/>
          <w:sz w:val="20"/>
        </w:rPr>
        <w:t>DOSSIER DE PRESSE</w:t>
      </w:r>
    </w:p>
    <w:p>
      <w:pPr>
        <w:spacing w:before="0" w:after="80"/>
        <w:jc w:val="center"/>
      </w:pPr>
      <w:r>
        <w:rPr>
          <w:rFonts w:ascii="Calibri" w:hAnsi="Calibri"/>
          <w:b/>
          <w:i w:val="0"/>
          <w:color w:val="1B2554"/>
          <w:sz w:val="62"/>
        </w:rPr>
        <w:t>Goodbye, Tel Aviv</w:t>
      </w:r>
    </w:p>
    <w:p>
      <w:pPr>
        <w:spacing w:after="300"/>
        <w:jc w:val="center"/>
      </w:pPr>
      <w:r>
        <w:rPr>
          <w:rFonts w:ascii="Calibri" w:hAnsi="Calibri"/>
          <w:b w:val="0"/>
          <w:i/>
          <w:color w:val="7A2E2A"/>
          <w:sz w:val="26"/>
        </w:rPr>
        <w:t>Volume I - Roman autobiographique de Michael Brenner</w:t>
      </w:r>
    </w:p>
    <w:p>
      <w:pPr>
        <w:spacing w:after="320"/>
        <w:jc w:val="center"/>
      </w:pPr>
      <w:r>
        <w:rPr>
          <w:rFonts w:ascii="Calibri" w:hAnsi="Calibri"/>
          <w:b w:val="0"/>
          <w:i w:val="0"/>
          <w:color w:val="2A3050"/>
          <w:sz w:val="22"/>
        </w:rPr>
        <w:drawing>
          <wp:inline xmlns:a="http://schemas.openxmlformats.org/drawingml/2006/main" xmlns:pic="http://schemas.openxmlformats.org/drawingml/2006/picture">
            <wp:extent cx="2376000" cy="3564000"/>
            <wp:docPr id="1" name="Picture 1" descr="Couverture du livre Goodbye, Tel Aviv — Volume I, de Michael Brenner" title="Couverture de Goodbye, Tel Aviv — Volume I"/>
            <wp:cNvGraphicFramePr>
              <a:graphicFrameLocks noChangeAspect="1"/>
            </wp:cNvGraphicFramePr>
            <a:graphic>
              <a:graphicData uri="http://schemas.openxmlformats.org/drawingml/2006/picture">
                <pic:pic>
                  <pic:nvPicPr>
                    <pic:cNvPr id="0" name="Goodbye_Tel_Aviv_couverture_impression_300dpi.png"/>
                    <pic:cNvPicPr/>
                  </pic:nvPicPr>
                  <pic:blipFill>
                    <a:blip r:embed="rId13"/>
                    <a:stretch>
                      <a:fillRect/>
                    </a:stretch>
                  </pic:blipFill>
                  <pic:spPr>
                    <a:xfrm>
                      <a:off x="0" y="0"/>
                      <a:ext cx="2376000" cy="3564000"/>
                    </a:xfrm>
                    <a:prstGeom prst="rect"/>
                  </pic:spPr>
                </pic:pic>
              </a:graphicData>
            </a:graphic>
          </wp:inline>
        </w:drawing>
      </w:r>
    </w:p>
    <w:p>
      <w:pPr>
        <w:spacing w:before="20" w:after="160" w:line="276" w:lineRule="auto"/>
        <w:ind w:left="1134" w:right="1134"/>
        <w:jc w:val="center"/>
      </w:pPr>
      <w:r>
        <w:rPr>
          <w:rFonts w:ascii="Calibri" w:hAnsi="Calibri"/>
          <w:b w:val="0"/>
          <w:i/>
          <w:color w:val="1B2554"/>
          <w:sz w:val="30"/>
        </w:rPr>
        <w:t>Il avait rêvé d'Israël comme d'une terre de liberté.</w:t>
        <w:br/>
        <w:t>Il allait découvrir le prix de l'ailleurs.</w:t>
      </w:r>
    </w:p>
    <w:p>
      <w:pPr>
        <w:spacing w:after="0"/>
        <w:jc w:val="center"/>
      </w:pPr>
      <w:r>
        <w:rPr>
          <w:rFonts w:ascii="Calibri" w:hAnsi="Calibri"/>
          <w:b/>
          <w:i w:val="0"/>
          <w:color w:val="7A2E2A"/>
          <w:sz w:val="18"/>
        </w:rPr>
        <w:t>VOLUME I  |  554 PAGES  |  FORMAT 15 x 21 CM</w:t>
      </w:r>
    </w:p>
    <w:p>
      <w:r>
        <w:rPr>
          <w:rFonts w:ascii="Calibri" w:hAnsi="Calibri"/>
          <w:b w:val="0"/>
          <w:i w:val="0"/>
          <w:color w:val="2A3050"/>
          <w:sz w:val="22"/>
        </w:rPr>
        <w:br w:type="page"/>
      </w:r>
    </w:p>
    <w:p>
      <w:pPr>
        <w:keepNext/>
        <w:spacing w:before="0" w:after="120"/>
      </w:pPr>
      <w:r>
        <w:rPr>
          <w:rFonts w:ascii="Calibri" w:hAnsi="Calibri"/>
          <w:b/>
          <w:i w:val="0"/>
          <w:color w:val="7A2E2A"/>
          <w:sz w:val="19"/>
        </w:rPr>
        <w:t>COMMUNIQUÉ</w:t>
      </w:r>
    </w:p>
    <w:p>
      <w:pPr>
        <w:pStyle w:val="Heading1"/>
        <w:keepNext/>
        <w:spacing w:before="360" w:after="200"/>
      </w:pPr>
      <w:r>
        <w:rPr>
          <w:rFonts w:ascii="Calibri" w:hAnsi="Calibri"/>
          <w:b/>
          <w:i w:val="0"/>
          <w:color w:val="1B2554"/>
          <w:sz w:val="36"/>
        </w:rPr>
        <w:t>Quand la terre promise rencontre l'épreuve du réel</w:t>
      </w:r>
    </w:p>
    <w:p>
      <w:pPr>
        <w:spacing w:before="0" w:after="160" w:line="320" w:lineRule="auto"/>
        <w:jc w:val="both"/>
      </w:pPr>
      <w:r>
        <w:rPr>
          <w:rFonts w:ascii="Calibri" w:hAnsi="Calibri"/>
          <w:b w:val="0"/>
          <w:i w:val="0"/>
          <w:color w:val="2A3050"/>
          <w:sz w:val="22"/>
        </w:rPr>
        <w:t>Avec Goodbye, Tel Aviv - Volume I, Michael Brenner livre un roman autobiographique ample et sans fard sur le départ, l'appartenance et la désillusion. À travers Marc, un Franco-Israélien convaincu qu'une nouvelle vie l'attend en Israël, il raconte l'enthousiasme des recommencements, l'énergie d'un pays longtemps idéalisé, puis la lente fissure d'un rêve chargé de trop de promesses.</w:t>
      </w:r>
    </w:p>
    <w:p>
      <w:pPr>
        <w:spacing w:before="0" w:after="160" w:line="320" w:lineRule="auto"/>
        <w:jc w:val="both"/>
      </w:pPr>
      <w:r>
        <w:rPr>
          <w:rFonts w:ascii="Calibri" w:hAnsi="Calibri"/>
          <w:b w:val="0"/>
          <w:i w:val="0"/>
          <w:color w:val="2A3050"/>
          <w:sz w:val="22"/>
        </w:rPr>
        <w:t>De Tel Aviv à Netanya, les projets, les rencontres et les amitiés semblent d'abord confirmer que tout est possible. Mais le travail, les centres d'appels francophones, les passions amoureuses, les loyautés fragiles et les enquêtes judiciaires imposent progressivement une autre réalité. Marc découvre qu'un passeport et une histoire familiale ne suffisent pas toujours à faire d'un pays une maison.</w:t>
      </w:r>
    </w:p>
    <w:p>
      <w:pPr>
        <w:spacing w:before="0" w:after="160" w:line="320" w:lineRule="auto"/>
        <w:jc w:val="both"/>
      </w:pPr>
      <w:r>
        <w:rPr>
          <w:rFonts w:ascii="Calibri" w:hAnsi="Calibri"/>
          <w:b w:val="0"/>
          <w:i w:val="0"/>
          <w:color w:val="2A3050"/>
          <w:sz w:val="22"/>
        </w:rPr>
        <w:t>Le livre ne se veut ni un réquisitoire contre Israël, ni une célébration aveugle. Il adopte le point de vue d'un homme pris dans ses propres contradictions : généreux et impatient, entreprenant et imprudent, lucide parfois trop tard. C'est précisément dans cette fragilité que le récit devient universel.</w:t>
      </w:r>
    </w:p>
    <w:p>
      <w:pPr>
        <w:spacing w:before="140" w:after="200" w:line="288" w:lineRule="auto"/>
        <w:ind w:left="454" w:right="227"/>
        <w:pBdr>
          <w:left w:val="single" w:sz="16" w:space="12" w:color="7A2E2A"/>
        </w:pBdr>
      </w:pPr>
      <w:r>
        <w:rPr>
          <w:rFonts w:ascii="Calibri" w:hAnsi="Calibri"/>
          <w:b w:val="0"/>
          <w:i/>
          <w:color w:val="1B2554"/>
          <w:sz w:val="27"/>
        </w:rPr>
        <w:t>“Nous avons presque tous notre propre Tel-Aviv : un lieu, une personne ou un projet sur lesquels nous avons placé l'espoir d'une vie meilleure.”</w:t>
      </w:r>
      <w:r>
        <w:rPr>
          <w:rFonts w:ascii="Calibri" w:hAnsi="Calibri"/>
          <w:b/>
          <w:i w:val="0"/>
          <w:color w:val="7A2E2A"/>
          <w:sz w:val="19"/>
        </w:rPr>
        <w:br/>
        <w:t>- Michael Brenner</w:t>
      </w:r>
    </w:p>
    <w:p>
      <w:pPr>
        <w:spacing w:before="0" w:after="160" w:line="320" w:lineRule="auto"/>
        <w:jc w:val="both"/>
      </w:pPr>
      <w:r>
        <w:rPr>
          <w:rFonts w:ascii="Calibri" w:hAnsi="Calibri"/>
          <w:b w:val="0"/>
          <w:i w:val="0"/>
          <w:color w:val="2A3050"/>
          <w:sz w:val="22"/>
        </w:rPr>
        <w:t>Goodbye, Tel Aviv parle d'Israël de l'intérieur, mais son véritable territoire est celui de l'illusion humaine : ce moment où l'on comprend que changer de pays ne suffit pas toujours à changer de vie. Ce premier volume interroge le prix des choix, la force du retour et ce qu'il reste d'un homme lorsque son rêve s'effondre.</w:t>
      </w:r>
    </w:p>
    <w:p>
      <w:pPr>
        <w:pStyle w:val="Heading2"/>
        <w:keepNext/>
        <w:spacing w:before="240" w:after="120"/>
      </w:pPr>
      <w:r>
        <w:rPr>
          <w:rFonts w:ascii="Calibri" w:hAnsi="Calibri"/>
          <w:b/>
          <w:i w:val="0"/>
          <w:color w:val="7A2E2A"/>
          <w:sz w:val="26"/>
        </w:rPr>
        <w:t>Contact presse</w:t>
      </w:r>
    </w:p>
    <w:p>
      <w:pPr>
        <w:spacing w:after="80"/>
      </w:pPr>
      <w:r>
        <w:rPr>
          <w:rFonts w:ascii="Calibri" w:hAnsi="Calibri"/>
          <w:b/>
          <w:i w:val="0"/>
          <w:color w:val="1B2554"/>
          <w:sz w:val="22"/>
        </w:rPr>
        <w:t xml:space="preserve">Michael Brenner  |  </w:t>
      </w:r>
      <w:hyperlink r:id="rId14">
        <w:r>
          <w:rPr>
            <w:rFonts w:ascii="Calibri" w:hAnsi="Calibri"/>
            <w:color w:val="1B2554"/>
            <w:sz w:val="22"/>
            <w:u w:val="single"/>
          </w:rPr>
          <w:t>contact@michaelbrenner.fr</w:t>
        </w:r>
      </w:hyperlink>
    </w:p>
    <w:p>
      <w:pPr>
        <w:spacing w:after="0"/>
      </w:pPr>
      <w:hyperlink r:id="rId15">
        <w:r>
          <w:rPr>
            <w:rFonts w:ascii="Calibri" w:hAnsi="Calibri"/>
            <w:color w:val="1B2554"/>
            <w:sz w:val="22"/>
            <w:b/>
            <w:u w:val="single"/>
          </w:rPr>
          <w:t>michaelbrenner.fr/goodbye-tel-aviv/</w:t>
        </w:r>
      </w:hyperlink>
    </w:p>
    <w:p>
      <w:r>
        <w:rPr>
          <w:rFonts w:ascii="Calibri" w:hAnsi="Calibri"/>
          <w:b w:val="0"/>
          <w:i w:val="0"/>
          <w:color w:val="2A3050"/>
          <w:sz w:val="22"/>
        </w:rPr>
        <w:br w:type="page"/>
      </w:r>
    </w:p>
    <w:p>
      <w:pPr>
        <w:keepNext/>
        <w:spacing w:before="0" w:after="120"/>
      </w:pPr>
      <w:r>
        <w:rPr>
          <w:rFonts w:ascii="Calibri" w:hAnsi="Calibri"/>
          <w:b/>
          <w:i w:val="0"/>
          <w:color w:val="7A2E2A"/>
          <w:sz w:val="19"/>
        </w:rPr>
        <w:t>LE LIVRE</w:t>
      </w:r>
    </w:p>
    <w:p>
      <w:pPr>
        <w:pStyle w:val="Heading1"/>
        <w:keepNext/>
        <w:spacing w:before="360" w:after="200"/>
      </w:pPr>
      <w:r>
        <w:rPr>
          <w:rFonts w:ascii="Calibri" w:hAnsi="Calibri"/>
          <w:b/>
          <w:i w:val="0"/>
          <w:color w:val="1B2554"/>
          <w:sz w:val="36"/>
        </w:rPr>
        <w:t>Goodbye, Tel Aviv en bref</w:t>
      </w:r>
    </w:p>
    <w:tbl>
      <w:tblPr>
        <w:tblW w:type="dxa" w:w="9638"/>
        <w:jc w:val="left"/>
        <w:tblLayout w:type="fixed"/>
        <w:tblLook w:firstColumn="1" w:firstRow="1" w:lastColumn="0" w:lastRow="0" w:noHBand="0" w:noVBand="1" w:val="04A0"/>
        <w:tblInd w:w="120" w:type="dxa"/>
        <w:tblBorders>
          <w:top w:val="single" w:sz="6" w:color="D7D9E3"/>
          <w:left w:val="single" w:sz="6" w:color="D7D9E3"/>
          <w:bottom w:val="single" w:sz="6" w:color="D7D9E3"/>
          <w:right w:val="single" w:sz="6" w:color="D7D9E3"/>
          <w:insideH w:val="single" w:sz="6" w:color="D7D9E3"/>
          <w:insideV w:val="single" w:sz="6" w:color="D7D9E3"/>
        </w:tblBorders>
      </w:tblPr>
      <w:tblGrid>
        <w:gridCol w:w="2880"/>
        <w:gridCol w:w="6758"/>
      </w:tblGrid>
      <w:tr>
        <w:trPr>
          <w:tblHeader w:val="true"/>
        </w:trPr>
        <w:tc>
          <w:tcPr>
            <w:tcW w:type="dxa" w:w="2880"/>
            <w:tcMar>
              <w:top w:w="100" w:type="dxa"/>
              <w:bottom w:w="100" w:type="dxa"/>
              <w:start w:w="120" w:type="dxa"/>
              <w:end w:w="120" w:type="dxa"/>
            </w:tcMar>
            <w:vAlign w:val="center"/>
            <w:shd w:fill="1B2554"/>
          </w:tcPr>
          <w:p>
            <w:pPr>
              <w:spacing w:after="0"/>
            </w:pPr>
            <w:r>
              <w:rPr>
                <w:rFonts w:ascii="Calibri" w:hAnsi="Calibri"/>
                <w:b/>
                <w:i w:val="0"/>
                <w:color w:val="FFFFFF"/>
                <w:sz w:val="20"/>
              </w:rPr>
              <w:t>Information</w:t>
            </w:r>
          </w:p>
        </w:tc>
        <w:tc>
          <w:tcPr>
            <w:tcW w:type="dxa" w:w="6758"/>
            <w:tcMar>
              <w:top w:w="100" w:type="dxa"/>
              <w:bottom w:w="100" w:type="dxa"/>
              <w:start w:w="120" w:type="dxa"/>
              <w:end w:w="120" w:type="dxa"/>
            </w:tcMar>
            <w:vAlign w:val="center"/>
            <w:shd w:fill="1B2554"/>
          </w:tcPr>
          <w:p>
            <w:pPr>
              <w:spacing w:after="0"/>
            </w:pPr>
            <w:r>
              <w:rPr>
                <w:rFonts w:ascii="Calibri" w:hAnsi="Calibri"/>
                <w:b/>
                <w:i w:val="0"/>
                <w:color w:val="FFFFFF"/>
                <w:sz w:val="20"/>
              </w:rPr>
              <w:t>Détail</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Titre</w:t>
            </w:r>
          </w:p>
        </w:tc>
        <w:tc>
          <w:tcPr>
            <w:tcW w:type="dxa" w:w="6758"/>
            <w:tcMar>
              <w:top w:w="100" w:type="dxa"/>
              <w:bottom w:w="100" w:type="dxa"/>
              <w:start w:w="120" w:type="dxa"/>
              <w:end w:w="120" w:type="dxa"/>
            </w:tcMar>
            <w:vAlign w:val="center"/>
            <w:shd w:fill="FFFFFF"/>
          </w:tcPr>
          <w:p>
            <w:pPr>
              <w:spacing w:after="0"/>
            </w:pPr>
            <w:r>
              <w:rPr>
                <w:rFonts w:ascii="Calibri" w:hAnsi="Calibri"/>
                <w:b w:val="0"/>
                <w:i w:val="0"/>
                <w:color w:val="2A3050"/>
                <w:sz w:val="21"/>
              </w:rPr>
              <w:t>Goodbye, Tel Aviv - Volume I</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Auteur</w:t>
            </w:r>
          </w:p>
        </w:tc>
        <w:tc>
          <w:tcPr>
            <w:tcW w:type="dxa" w:w="6758"/>
            <w:tcMar>
              <w:top w:w="100" w:type="dxa"/>
              <w:bottom w:w="100" w:type="dxa"/>
              <w:start w:w="120" w:type="dxa"/>
              <w:end w:w="120" w:type="dxa"/>
            </w:tcMar>
            <w:vAlign w:val="center"/>
            <w:shd w:fill="FBF8ED"/>
          </w:tcPr>
          <w:p>
            <w:pPr>
              <w:spacing w:after="0"/>
            </w:pPr>
            <w:r>
              <w:rPr>
                <w:rFonts w:ascii="Calibri" w:hAnsi="Calibri"/>
                <w:b w:val="0"/>
                <w:i w:val="0"/>
                <w:color w:val="2A3050"/>
                <w:sz w:val="21"/>
              </w:rPr>
              <w:t>Michael Brenner</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Genre</w:t>
            </w:r>
          </w:p>
        </w:tc>
        <w:tc>
          <w:tcPr>
            <w:tcW w:type="dxa" w:w="6758"/>
            <w:tcMar>
              <w:top w:w="100" w:type="dxa"/>
              <w:bottom w:w="100" w:type="dxa"/>
              <w:start w:w="120" w:type="dxa"/>
              <w:end w:w="120" w:type="dxa"/>
            </w:tcMar>
            <w:vAlign w:val="center"/>
            <w:shd w:fill="FFFFFF"/>
          </w:tcPr>
          <w:p>
            <w:pPr>
              <w:spacing w:after="0"/>
            </w:pPr>
            <w:r>
              <w:rPr>
                <w:rFonts w:ascii="Calibri" w:hAnsi="Calibri"/>
                <w:b w:val="0"/>
                <w:i w:val="0"/>
                <w:color w:val="2A3050"/>
                <w:sz w:val="21"/>
              </w:rPr>
              <w:t>Roman autobiographique</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Langue</w:t>
            </w:r>
          </w:p>
        </w:tc>
        <w:tc>
          <w:tcPr>
            <w:tcW w:type="dxa" w:w="6758"/>
            <w:tcMar>
              <w:top w:w="100" w:type="dxa"/>
              <w:bottom w:w="100" w:type="dxa"/>
              <w:start w:w="120" w:type="dxa"/>
              <w:end w:w="120" w:type="dxa"/>
            </w:tcMar>
            <w:vAlign w:val="center"/>
            <w:shd w:fill="FBF8ED"/>
          </w:tcPr>
          <w:p>
            <w:pPr>
              <w:spacing w:after="0"/>
            </w:pPr>
            <w:r>
              <w:rPr>
                <w:rFonts w:ascii="Calibri" w:hAnsi="Calibri"/>
                <w:b w:val="0"/>
                <w:i w:val="0"/>
                <w:color w:val="2A3050"/>
                <w:sz w:val="21"/>
              </w:rPr>
              <w:t>Français</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Pagination</w:t>
            </w:r>
          </w:p>
        </w:tc>
        <w:tc>
          <w:tcPr>
            <w:tcW w:type="dxa" w:w="6758"/>
            <w:tcMar>
              <w:top w:w="100" w:type="dxa"/>
              <w:bottom w:w="100" w:type="dxa"/>
              <w:start w:w="120" w:type="dxa"/>
              <w:end w:w="120" w:type="dxa"/>
            </w:tcMar>
            <w:vAlign w:val="center"/>
            <w:shd w:fill="FFFFFF"/>
          </w:tcPr>
          <w:p>
            <w:pPr>
              <w:spacing w:after="0"/>
            </w:pPr>
            <w:r>
              <w:rPr>
                <w:rFonts w:ascii="Calibri" w:hAnsi="Calibri"/>
                <w:b w:val="0"/>
                <w:i w:val="0"/>
                <w:color w:val="2A3050"/>
                <w:sz w:val="21"/>
              </w:rPr>
              <w:t>554 pages numérotées</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Format</w:t>
            </w:r>
          </w:p>
        </w:tc>
        <w:tc>
          <w:tcPr>
            <w:tcW w:type="dxa" w:w="6758"/>
            <w:tcMar>
              <w:top w:w="100" w:type="dxa"/>
              <w:bottom w:w="100" w:type="dxa"/>
              <w:start w:w="120" w:type="dxa"/>
              <w:end w:w="120" w:type="dxa"/>
            </w:tcMar>
            <w:vAlign w:val="center"/>
            <w:shd w:fill="FBF8ED"/>
          </w:tcPr>
          <w:p>
            <w:pPr>
              <w:spacing w:after="0"/>
            </w:pPr>
            <w:r>
              <w:rPr>
                <w:rFonts w:ascii="Calibri" w:hAnsi="Calibri"/>
                <w:b w:val="0"/>
                <w:i w:val="0"/>
                <w:color w:val="2A3050"/>
                <w:sz w:val="21"/>
              </w:rPr>
              <w:t>15 x 21 cm</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Personnage principal</w:t>
            </w:r>
          </w:p>
        </w:tc>
        <w:tc>
          <w:tcPr>
            <w:tcW w:type="dxa" w:w="6758"/>
            <w:tcMar>
              <w:top w:w="100" w:type="dxa"/>
              <w:bottom w:w="100" w:type="dxa"/>
              <w:start w:w="120" w:type="dxa"/>
              <w:end w:w="120" w:type="dxa"/>
            </w:tcMar>
            <w:vAlign w:val="center"/>
            <w:shd w:fill="FFFFFF"/>
          </w:tcPr>
          <w:p>
            <w:pPr>
              <w:spacing w:after="0"/>
            </w:pPr>
            <w:r>
              <w:rPr>
                <w:rFonts w:ascii="Calibri" w:hAnsi="Calibri"/>
                <w:b w:val="0"/>
                <w:i w:val="0"/>
                <w:color w:val="2A3050"/>
                <w:sz w:val="21"/>
              </w:rPr>
              <w:t>Marc, Franco-Israélien</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Cadre</w:t>
            </w:r>
          </w:p>
        </w:tc>
        <w:tc>
          <w:tcPr>
            <w:tcW w:type="dxa" w:w="6758"/>
            <w:tcMar>
              <w:top w:w="100" w:type="dxa"/>
              <w:bottom w:w="100" w:type="dxa"/>
              <w:start w:w="120" w:type="dxa"/>
              <w:end w:w="120" w:type="dxa"/>
            </w:tcMar>
            <w:vAlign w:val="center"/>
            <w:shd w:fill="FBF8ED"/>
          </w:tcPr>
          <w:p>
            <w:pPr>
              <w:spacing w:after="0"/>
            </w:pPr>
            <w:r>
              <w:rPr>
                <w:rFonts w:ascii="Calibri" w:hAnsi="Calibri"/>
                <w:b w:val="0"/>
                <w:i w:val="0"/>
                <w:color w:val="2A3050"/>
                <w:sz w:val="21"/>
              </w:rPr>
              <w:t>France et Israël, notamment Tel Aviv et Netanya</w:t>
            </w:r>
          </w:p>
        </w:tc>
      </w:tr>
      <w:tr>
        <w:tc>
          <w:tcPr>
            <w:tcW w:type="dxa" w:w="2880"/>
            <w:tcMar>
              <w:top w:w="100" w:type="dxa"/>
              <w:bottom w:w="100" w:type="dxa"/>
              <w:start w:w="120" w:type="dxa"/>
              <w:end w:w="120" w:type="dxa"/>
            </w:tcMar>
            <w:vAlign w:val="center"/>
            <w:shd w:fill="EFE7CB"/>
          </w:tcPr>
          <w:p>
            <w:pPr>
              <w:spacing w:after="0"/>
            </w:pPr>
            <w:r>
              <w:rPr>
                <w:rFonts w:ascii="Calibri" w:hAnsi="Calibri"/>
                <w:b/>
                <w:i w:val="0"/>
                <w:color w:val="1B2554"/>
                <w:sz w:val="20"/>
              </w:rPr>
              <w:t>Informations commerciales</w:t>
            </w:r>
          </w:p>
        </w:tc>
        <w:tc>
          <w:tcPr>
            <w:tcW w:type="dxa" w:w="6758"/>
            <w:tcMar>
              <w:top w:w="100" w:type="dxa"/>
              <w:bottom w:w="100" w:type="dxa"/>
              <w:start w:w="120" w:type="dxa"/>
              <w:end w:w="120" w:type="dxa"/>
            </w:tcMar>
            <w:vAlign w:val="center"/>
            <w:shd w:fill="FFFFFF"/>
          </w:tcPr>
          <w:p>
            <w:pPr>
              <w:spacing w:after="0"/>
            </w:pPr>
            <w:r>
              <w:rPr>
                <w:rFonts w:ascii="Calibri" w:hAnsi="Calibri"/>
                <w:b w:val="0"/>
                <w:i w:val="0"/>
                <w:color w:val="2A3050"/>
                <w:sz w:val="21"/>
              </w:rPr>
              <w:t>Disponibilité et lien d'achat actualisés sur michaelbrenner.fr</w:t>
            </w:r>
          </w:p>
        </w:tc>
      </w:tr>
    </w:tbl>
    <w:p>
      <w:pPr>
        <w:pStyle w:val="Heading2"/>
        <w:keepNext/>
        <w:spacing w:before="240" w:after="120"/>
      </w:pPr>
      <w:r>
        <w:rPr>
          <w:rFonts w:ascii="Calibri" w:hAnsi="Calibri"/>
          <w:b/>
          <w:i w:val="0"/>
          <w:color w:val="7A2E2A"/>
          <w:sz w:val="26"/>
        </w:rPr>
        <w:t>Synopsis</w:t>
      </w:r>
    </w:p>
    <w:p>
      <w:pPr>
        <w:spacing w:before="0" w:after="160" w:line="320" w:lineRule="auto"/>
        <w:jc w:val="both"/>
      </w:pPr>
      <w:r>
        <w:rPr>
          <w:rFonts w:ascii="Calibri" w:hAnsi="Calibri"/>
          <w:b w:val="0"/>
          <w:i w:val="0"/>
          <w:color w:val="2A3050"/>
          <w:sz w:val="22"/>
        </w:rPr>
        <w:t>Marc croit qu'il suffit de changer de pays pour changer de vie. Lorsque le neveu de sa femme lui propose de le rejoindre en Israël pour travailler à ses côtés, ce Franco-Israélien hyperactif se lance avec l'enthousiasme de ceux qui pensent enfin rejoindre leur véritable place.</w:t>
      </w:r>
    </w:p>
    <w:p>
      <w:pPr>
        <w:spacing w:before="0" w:after="160" w:line="320" w:lineRule="auto"/>
        <w:jc w:val="both"/>
      </w:pPr>
      <w:r>
        <w:rPr>
          <w:rFonts w:ascii="Calibri" w:hAnsi="Calibri"/>
          <w:b w:val="0"/>
          <w:i w:val="0"/>
          <w:color w:val="2A3050"/>
          <w:sz w:val="22"/>
        </w:rPr>
        <w:t>De Tel Aviv à Netanya, entre ambitions professionnelles, amitiés ambiguës, passion amoureuse et démêlés judiciaires, la promesse d'une existence nouvelle se fissure peu à peu. Plus Marc cherche à se réinventer, plus il s'éloigne des siens et de lui-même.</w:t>
      </w:r>
    </w:p>
    <w:p>
      <w:pPr>
        <w:spacing w:before="0" w:after="160" w:line="320" w:lineRule="auto"/>
        <w:jc w:val="both"/>
      </w:pPr>
      <w:r>
        <w:rPr>
          <w:rFonts w:ascii="Calibri" w:hAnsi="Calibri"/>
          <w:b w:val="0"/>
          <w:i w:val="0"/>
          <w:color w:val="2A3050"/>
          <w:sz w:val="22"/>
        </w:rPr>
        <w:t>Inspiré d'une histoire vraie, Goodbye, Tel Aviv est le récit d'un homme enthousiaste, excessif et imparfait, confronté au prix de ses choix. Un roman sur l'exil, l'illusion, la famille et le courage de revenir - lorsque partir n'a pas suffi à se sauver.</w:t>
      </w:r>
    </w:p>
    <w:p>
      <w:r>
        <w:rPr>
          <w:rFonts w:ascii="Calibri" w:hAnsi="Calibri"/>
          <w:b w:val="0"/>
          <w:i w:val="0"/>
          <w:color w:val="2A3050"/>
          <w:sz w:val="22"/>
        </w:rPr>
        <w:br w:type="page"/>
      </w:r>
    </w:p>
    <w:p>
      <w:pPr>
        <w:keepNext/>
        <w:spacing w:before="0" w:after="120"/>
      </w:pPr>
      <w:r>
        <w:rPr>
          <w:rFonts w:ascii="Calibri" w:hAnsi="Calibri"/>
          <w:b/>
          <w:i w:val="0"/>
          <w:color w:val="7A2E2A"/>
          <w:sz w:val="19"/>
        </w:rPr>
        <w:t>REPÈRES ÉDITORIAUX</w:t>
      </w:r>
    </w:p>
    <w:p>
      <w:pPr>
        <w:pStyle w:val="Heading1"/>
        <w:keepNext/>
        <w:spacing w:before="360" w:after="200"/>
      </w:pPr>
      <w:r>
        <w:rPr>
          <w:rFonts w:ascii="Calibri" w:hAnsi="Calibri"/>
          <w:b/>
          <w:i w:val="0"/>
          <w:color w:val="1B2554"/>
          <w:sz w:val="36"/>
        </w:rPr>
        <w:t>Les thèmes et les angles possibles</w:t>
      </w:r>
    </w:p>
    <w:p>
      <w:pPr>
        <w:pStyle w:val="Heading2"/>
        <w:keepNext/>
        <w:spacing w:before="240" w:after="60"/>
      </w:pPr>
      <w:r>
        <w:rPr>
          <w:rFonts w:ascii="Calibri" w:hAnsi="Calibri"/>
          <w:b/>
          <w:i w:val="0"/>
          <w:color w:val="7A2E2A"/>
          <w:sz w:val="26"/>
        </w:rPr>
        <w:t>L'ailleurs idéalisé</w:t>
      </w:r>
    </w:p>
    <w:p>
      <w:pPr>
        <w:spacing w:before="0" w:after="100" w:line="320" w:lineRule="auto"/>
        <w:jc w:val="both"/>
      </w:pPr>
      <w:r>
        <w:rPr>
          <w:rFonts w:ascii="Calibri" w:hAnsi="Calibri"/>
          <w:b w:val="0"/>
          <w:i w:val="0"/>
          <w:color w:val="2A3050"/>
          <w:sz w:val="22"/>
        </w:rPr>
        <w:t>Pourquoi charge-t-on parfois un pays, une relation ou un projet de réparer toute une vie ? Le roman suit le passage de la projection au réel.</w:t>
      </w:r>
    </w:p>
    <w:p>
      <w:pPr>
        <w:pStyle w:val="Heading2"/>
        <w:keepNext/>
        <w:spacing w:before="240" w:after="60"/>
      </w:pPr>
      <w:r>
        <w:rPr>
          <w:rFonts w:ascii="Calibri" w:hAnsi="Calibri"/>
          <w:b/>
          <w:i w:val="0"/>
          <w:color w:val="7A2E2A"/>
          <w:sz w:val="26"/>
        </w:rPr>
        <w:t>La double appartenance</w:t>
      </w:r>
    </w:p>
    <w:p>
      <w:pPr>
        <w:spacing w:before="0" w:after="100" w:line="320" w:lineRule="auto"/>
        <w:jc w:val="both"/>
      </w:pPr>
      <w:r>
        <w:rPr>
          <w:rFonts w:ascii="Calibri" w:hAnsi="Calibri"/>
          <w:b w:val="0"/>
          <w:i w:val="0"/>
          <w:color w:val="2A3050"/>
          <w:sz w:val="22"/>
        </w:rPr>
        <w:t>Être franco-israélien peut donner le sentiment d'avoir deux maisons, mais aussi celui de ne se sentir complètement chez soi dans aucune.</w:t>
      </w:r>
    </w:p>
    <w:p>
      <w:pPr>
        <w:pStyle w:val="Heading2"/>
        <w:keepNext/>
        <w:spacing w:before="240" w:after="60"/>
      </w:pPr>
      <w:r>
        <w:rPr>
          <w:rFonts w:ascii="Calibri" w:hAnsi="Calibri"/>
          <w:b/>
          <w:i w:val="0"/>
          <w:color w:val="7A2E2A"/>
          <w:sz w:val="26"/>
        </w:rPr>
        <w:t>L'installation en Israël</w:t>
      </w:r>
    </w:p>
    <w:p>
      <w:pPr>
        <w:spacing w:before="0" w:after="100" w:line="320" w:lineRule="auto"/>
        <w:jc w:val="both"/>
      </w:pPr>
      <w:r>
        <w:rPr>
          <w:rFonts w:ascii="Calibri" w:hAnsi="Calibri"/>
          <w:b w:val="0"/>
          <w:i w:val="0"/>
          <w:color w:val="2A3050"/>
          <w:sz w:val="22"/>
        </w:rPr>
        <w:t>Le récit montre l'énergie du pays, ses codes, ses opportunités et ses duretés à travers une expérience personnelle, sans prétendre résumer celle de tous.</w:t>
      </w:r>
    </w:p>
    <w:p>
      <w:pPr>
        <w:pStyle w:val="Heading2"/>
        <w:keepNext/>
        <w:spacing w:before="240" w:after="60"/>
      </w:pPr>
      <w:r>
        <w:rPr>
          <w:rFonts w:ascii="Calibri" w:hAnsi="Calibri"/>
          <w:b/>
          <w:i w:val="0"/>
          <w:color w:val="7A2E2A"/>
          <w:sz w:val="26"/>
        </w:rPr>
        <w:t>Le travail et les centres d'appels francophones</w:t>
      </w:r>
    </w:p>
    <w:p>
      <w:pPr>
        <w:spacing w:before="0" w:after="100" w:line="320" w:lineRule="auto"/>
        <w:jc w:val="both"/>
      </w:pPr>
      <w:r>
        <w:rPr>
          <w:rFonts w:ascii="Calibri" w:hAnsi="Calibri"/>
          <w:b w:val="0"/>
          <w:i w:val="0"/>
          <w:color w:val="2A3050"/>
          <w:sz w:val="22"/>
        </w:rPr>
        <w:t>Le livre aborde un milieu rarement raconté de l'intérieur : un espace d'intégration rapide, de réussite possible, mais aussi de zones grises, de loyautés fragiles et de désillusions.</w:t>
      </w:r>
    </w:p>
    <w:p>
      <w:pPr>
        <w:pStyle w:val="Heading2"/>
        <w:keepNext/>
        <w:spacing w:before="240" w:after="60"/>
      </w:pPr>
      <w:r>
        <w:rPr>
          <w:rFonts w:ascii="Calibri" w:hAnsi="Calibri"/>
          <w:b/>
          <w:i w:val="0"/>
          <w:color w:val="7A2E2A"/>
          <w:sz w:val="26"/>
        </w:rPr>
        <w:t>La famille, l'amour et la faute</w:t>
      </w:r>
    </w:p>
    <w:p>
      <w:pPr>
        <w:spacing w:before="0" w:after="100" w:line="320" w:lineRule="auto"/>
        <w:jc w:val="both"/>
      </w:pPr>
      <w:r>
        <w:rPr>
          <w:rFonts w:ascii="Calibri" w:hAnsi="Calibri"/>
          <w:b w:val="0"/>
          <w:i w:val="0"/>
          <w:color w:val="2A3050"/>
          <w:sz w:val="22"/>
        </w:rPr>
        <w:t>Entre sa femme, ses enfants, son père malade et une relation passionnelle, Marc mesure peu à peu ce que ses choix font subir à ceux qu'il aime.</w:t>
      </w:r>
    </w:p>
    <w:p>
      <w:pPr>
        <w:pStyle w:val="Heading2"/>
        <w:keepNext/>
        <w:spacing w:before="240" w:after="60"/>
      </w:pPr>
      <w:r>
        <w:rPr>
          <w:rFonts w:ascii="Calibri" w:hAnsi="Calibri"/>
          <w:b/>
          <w:i w:val="0"/>
          <w:color w:val="7A2E2A"/>
          <w:sz w:val="26"/>
        </w:rPr>
        <w:t>Le courage de revenir</w:t>
      </w:r>
    </w:p>
    <w:p>
      <w:pPr>
        <w:spacing w:before="0" w:after="100" w:line="320" w:lineRule="auto"/>
        <w:jc w:val="both"/>
      </w:pPr>
      <w:r>
        <w:rPr>
          <w:rFonts w:ascii="Calibri" w:hAnsi="Calibri"/>
          <w:b w:val="0"/>
          <w:i w:val="0"/>
          <w:color w:val="2A3050"/>
          <w:sz w:val="22"/>
        </w:rPr>
        <w:t>Partir est souvent présenté comme un acte héroïque. Goodbye, Tel Aviv interroge aussi la difficulté du retour, lorsque l'on a changé et que la place quittée n'existe plus tout à fait.</w:t>
      </w:r>
    </w:p>
    <w:p>
      <w:r>
        <w:rPr>
          <w:rFonts w:ascii="Calibri" w:hAnsi="Calibri"/>
          <w:b w:val="0"/>
          <w:i w:val="0"/>
          <w:color w:val="2A3050"/>
          <w:sz w:val="22"/>
        </w:rPr>
        <w:br w:type="page"/>
      </w:r>
    </w:p>
    <w:p>
      <w:pPr>
        <w:keepNext/>
        <w:spacing w:before="0" w:after="120"/>
      </w:pPr>
      <w:r>
        <w:rPr>
          <w:rFonts w:ascii="Calibri" w:hAnsi="Calibri"/>
          <w:b/>
          <w:i w:val="0"/>
          <w:color w:val="7A2E2A"/>
          <w:sz w:val="19"/>
        </w:rPr>
        <w:t>L'AUTEUR</w:t>
      </w:r>
    </w:p>
    <w:p>
      <w:pPr>
        <w:pStyle w:val="Heading1"/>
        <w:keepNext/>
        <w:spacing w:before="360" w:after="200"/>
      </w:pPr>
      <w:r>
        <w:rPr>
          <w:rFonts w:ascii="Calibri" w:hAnsi="Calibri"/>
          <w:b/>
          <w:i w:val="0"/>
          <w:color w:val="1B2554"/>
          <w:sz w:val="36"/>
        </w:rPr>
        <w:t>Michael Brenner</w:t>
      </w:r>
    </w:p>
    <w:p>
      <w:pPr>
        <w:spacing w:before="0" w:after="160" w:line="320" w:lineRule="auto"/>
        <w:jc w:val="both"/>
      </w:pPr>
      <w:r>
        <w:rPr>
          <w:rFonts w:ascii="Calibri" w:hAnsi="Calibri"/>
          <w:b/>
          <w:i w:val="0"/>
          <w:color w:val="2A3050"/>
          <w:sz w:val="22"/>
        </w:rPr>
        <w:t>Michael Brenner</w:t>
      </w:r>
      <w:r>
        <w:rPr>
          <w:rFonts w:ascii="Calibri" w:hAnsi="Calibri"/>
          <w:b w:val="0"/>
          <w:i w:val="0"/>
          <w:color w:val="2A3050"/>
          <w:sz w:val="22"/>
        </w:rPr>
        <w:t xml:space="preserve"> est le pseudonyme d'un écrivain franco-israélien. Dans ses romans et ses essais, il explore l'exil, l'identité, la mémoire et la frontière fragile entre histoire et récit.</w:t>
      </w:r>
    </w:p>
    <w:p>
      <w:pPr>
        <w:spacing w:before="0" w:after="160" w:line="320" w:lineRule="auto"/>
        <w:jc w:val="both"/>
      </w:pPr>
      <w:r>
        <w:rPr>
          <w:rFonts w:ascii="Calibri" w:hAnsi="Calibri"/>
          <w:b w:val="0"/>
          <w:i w:val="0"/>
          <w:color w:val="2A3050"/>
          <w:sz w:val="22"/>
        </w:rPr>
        <w:t>Entre la France et Israël, il a connu plusieurs vies, notamment comme entrepreneur et voyageur. Cette expérience nourrit une écriture directe, intime et lucide, attentive aux contradictions humaines et aux illusions que chacun construit pour continuer d'avancer.</w:t>
      </w:r>
    </w:p>
    <w:p>
      <w:pPr>
        <w:spacing w:before="0" w:after="160" w:line="320" w:lineRule="auto"/>
        <w:jc w:val="both"/>
      </w:pPr>
      <w:r>
        <w:rPr>
          <w:rFonts w:ascii="Calibri" w:hAnsi="Calibri"/>
          <w:b w:val="0"/>
          <w:i w:val="0"/>
          <w:color w:val="2A3050"/>
          <w:sz w:val="22"/>
        </w:rPr>
        <w:t>Goodbye, Tel Aviv - Volume I, son premier roman, est inspiré de son propre parcours. Les noms des protagonistes ont été modifiés, mais l'expérience racontée est profondément personnelle. Il y écrit sans fard ce que signifie partir, recommencer, se perdre et tenter de revenir.</w:t>
      </w:r>
    </w:p>
    <w:p>
      <w:pPr>
        <w:spacing w:before="140" w:after="200" w:line="288" w:lineRule="auto"/>
        <w:ind w:left="454" w:right="227"/>
        <w:pBdr>
          <w:left w:val="single" w:sz="16" w:space="12" w:color="7A2E2A"/>
        </w:pBdr>
      </w:pPr>
      <w:r>
        <w:rPr>
          <w:rFonts w:ascii="Calibri" w:hAnsi="Calibri"/>
          <w:b w:val="0"/>
          <w:i/>
          <w:color w:val="1B2554"/>
          <w:sz w:val="27"/>
        </w:rPr>
        <w:t>“Je ne voulais ni défendre Israël ni l'accuser. Je voulais simplement raconter ce qui s'était réellement passé, de l'intérieur, à hauteur d'homme.”</w:t>
      </w:r>
      <w:r>
        <w:rPr>
          <w:rFonts w:ascii="Calibri" w:hAnsi="Calibri"/>
          <w:b/>
          <w:i w:val="0"/>
          <w:color w:val="7A2E2A"/>
          <w:sz w:val="19"/>
        </w:rPr>
        <w:br/>
        <w:t>- Michael Brenner</w:t>
      </w:r>
    </w:p>
    <w:p>
      <w:pPr>
        <w:pStyle w:val="Heading2"/>
        <w:keepNext/>
        <w:spacing w:before="240" w:after="120"/>
      </w:pPr>
      <w:r>
        <w:rPr>
          <w:rFonts w:ascii="Calibri" w:hAnsi="Calibri"/>
          <w:b/>
          <w:i w:val="0"/>
          <w:color w:val="7A2E2A"/>
          <w:sz w:val="26"/>
        </w:rPr>
        <w:t>Son univers</w:t>
      </w:r>
    </w:p>
    <w:p>
      <w:pPr>
        <w:spacing w:before="0" w:after="160" w:line="320" w:lineRule="auto"/>
        <w:jc w:val="both"/>
      </w:pPr>
      <w:r>
        <w:rPr>
          <w:rFonts w:ascii="Calibri" w:hAnsi="Calibri"/>
          <w:b w:val="0"/>
          <w:i w:val="0"/>
          <w:color w:val="2A3050"/>
          <w:sz w:val="22"/>
        </w:rPr>
        <w:t>Ses textes relient l'expérience individuelle aux grands récits collectifs. La terre promise, l'exil, l'identité, le retour et la mémoire y reviennent sous des formes différentes, dans le roman comme dans l'essai.</w:t>
      </w:r>
    </w:p>
    <w:p>
      <w:pPr>
        <w:pStyle w:val="Heading2"/>
        <w:keepNext/>
        <w:spacing w:before="240" w:after="120"/>
      </w:pPr>
      <w:r>
        <w:rPr>
          <w:rFonts w:ascii="Calibri" w:hAnsi="Calibri"/>
          <w:b/>
          <w:i w:val="0"/>
          <w:color w:val="7A2E2A"/>
          <w:sz w:val="26"/>
        </w:rPr>
        <w:t>Ouvrages</w:t>
      </w:r>
    </w:p>
    <w:p>
      <w:pPr>
        <w:spacing w:before="0" w:after="160" w:line="320" w:lineRule="auto"/>
        <w:jc w:val="both"/>
      </w:pPr>
      <w:r>
        <w:rPr>
          <w:rFonts w:ascii="Calibri" w:hAnsi="Calibri"/>
          <w:b/>
          <w:i w:val="0"/>
          <w:color w:val="2A3050"/>
          <w:sz w:val="22"/>
        </w:rPr>
        <w:t>Goodbye, Tel Aviv</w:t>
      </w:r>
      <w:r>
        <w:rPr>
          <w:rFonts w:ascii="Calibri" w:hAnsi="Calibri"/>
          <w:b w:val="0"/>
          <w:i w:val="0"/>
          <w:color w:val="2A3050"/>
          <w:sz w:val="22"/>
        </w:rPr>
        <w:t xml:space="preserve"> - Volume I - Roman autobiographique, premier roman.</w:t>
      </w:r>
    </w:p>
    <w:p>
      <w:pPr>
        <w:spacing w:before="0" w:after="160" w:line="320" w:lineRule="auto"/>
        <w:jc w:val="both"/>
      </w:pPr>
      <w:r>
        <w:rPr>
          <w:rFonts w:ascii="Calibri" w:hAnsi="Calibri"/>
          <w:b/>
          <w:i w:val="0"/>
          <w:color w:val="2A3050"/>
          <w:sz w:val="22"/>
        </w:rPr>
        <w:t>Moïse, une autre histoire</w:t>
      </w:r>
      <w:r>
        <w:rPr>
          <w:rFonts w:ascii="Calibri" w:hAnsi="Calibri"/>
          <w:b w:val="0"/>
          <w:i w:val="0"/>
          <w:color w:val="2A3050"/>
          <w:sz w:val="22"/>
        </w:rPr>
        <w:t xml:space="preserve"> - Relecture romanesque et spéculative de l'Exode, en préparation.</w:t>
      </w:r>
    </w:p>
    <w:p>
      <w:pPr>
        <w:spacing w:before="0" w:after="160" w:line="320" w:lineRule="auto"/>
        <w:jc w:val="both"/>
      </w:pPr>
      <w:r>
        <w:rPr>
          <w:rFonts w:ascii="Calibri" w:hAnsi="Calibri"/>
          <w:b/>
          <w:i w:val="0"/>
          <w:color w:val="2A3050"/>
          <w:sz w:val="22"/>
        </w:rPr>
        <w:t>L'Histoire contre le mythe</w:t>
      </w:r>
      <w:r>
        <w:rPr>
          <w:rFonts w:ascii="Calibri" w:hAnsi="Calibri"/>
          <w:b w:val="0"/>
          <w:i w:val="0"/>
          <w:color w:val="2A3050"/>
          <w:sz w:val="22"/>
        </w:rPr>
        <w:t xml:space="preserve"> - Essai en réponse aux thèses de Shlomo Sand, en préparation.</w:t>
      </w:r>
    </w:p>
    <w:p>
      <w:pPr>
        <w:pStyle w:val="Heading2"/>
        <w:keepNext/>
        <w:spacing w:before="240" w:after="120"/>
      </w:pPr>
      <w:r>
        <w:rPr>
          <w:rFonts w:ascii="Calibri" w:hAnsi="Calibri"/>
          <w:b/>
          <w:i w:val="0"/>
          <w:color w:val="7A2E2A"/>
          <w:sz w:val="26"/>
        </w:rPr>
        <w:t>Demandes d'entretien</w:t>
      </w:r>
    </w:p>
    <w:p>
      <w:pPr>
        <w:spacing w:before="0" w:after="160" w:line="320" w:lineRule="auto"/>
        <w:jc w:val="both"/>
      </w:pPr>
      <w:r>
        <w:rPr>
          <w:rFonts w:ascii="Calibri" w:hAnsi="Calibri"/>
          <w:b w:val="0"/>
          <w:i w:val="0"/>
          <w:color w:val="2A3050"/>
          <w:sz w:val="22"/>
        </w:rPr>
        <w:t>Pour une interview, une émission, un podcast, une rencontre ou un service de presse : contact@michaelbrenner.fr</w:t>
      </w:r>
    </w:p>
    <w:p>
      <w:r>
        <w:rPr>
          <w:rFonts w:ascii="Calibri" w:hAnsi="Calibri"/>
          <w:b w:val="0"/>
          <w:i w:val="0"/>
          <w:color w:val="2A3050"/>
          <w:sz w:val="22"/>
        </w:rPr>
        <w:br w:type="page"/>
      </w:r>
    </w:p>
    <w:p>
      <w:pPr>
        <w:keepNext/>
        <w:spacing w:before="0" w:after="120"/>
      </w:pPr>
      <w:r>
        <w:rPr>
          <w:rFonts w:ascii="Calibri" w:hAnsi="Calibri"/>
          <w:b/>
          <w:i w:val="0"/>
          <w:color w:val="7A2E2A"/>
          <w:sz w:val="19"/>
        </w:rPr>
        <w:t>ENTRETIEN</w:t>
      </w:r>
    </w:p>
    <w:p>
      <w:pPr>
        <w:pStyle w:val="Heading1"/>
        <w:keepNext/>
        <w:spacing w:before="360" w:after="200"/>
      </w:pPr>
      <w:r>
        <w:rPr>
          <w:rFonts w:ascii="Calibri" w:hAnsi="Calibri"/>
          <w:b/>
          <w:i w:val="0"/>
          <w:color w:val="1B2554"/>
          <w:sz w:val="36"/>
        </w:rPr>
        <w:t>Cinq questions à Michael Brenner</w:t>
      </w:r>
    </w:p>
    <w:p>
      <w:pPr>
        <w:keepNext/>
        <w:spacing w:before="240" w:after="80"/>
      </w:pPr>
      <w:r>
        <w:rPr>
          <w:rFonts w:ascii="Calibri" w:hAnsi="Calibri"/>
          <w:b/>
          <w:i w:val="0"/>
          <w:color w:val="1B2554"/>
          <w:sz w:val="24"/>
        </w:rPr>
        <w:t>Pourquoi avez-vous écrit Goodbye, Tel Aviv ?</w:t>
      </w:r>
    </w:p>
    <w:p>
      <w:pPr>
        <w:spacing w:before="0" w:after="120" w:line="320" w:lineRule="auto"/>
        <w:jc w:val="both"/>
      </w:pPr>
      <w:r>
        <w:rPr>
          <w:rFonts w:ascii="Calibri" w:hAnsi="Calibri"/>
          <w:b w:val="0"/>
          <w:i w:val="0"/>
          <w:color w:val="2A3050"/>
          <w:sz w:val="22"/>
        </w:rPr>
        <w:t>J'ai écrit ce livre parce que ce que j'avais vécu ne ressemblait à rien de ce que l'on m'avait raconté. Mon expérience ne correspondait ni au récit d'une terre promise, ni à celui d'un pays réduit à ses conflits.</w:t>
      </w:r>
    </w:p>
    <w:p>
      <w:pPr>
        <w:spacing w:before="0" w:after="120" w:line="320" w:lineRule="auto"/>
        <w:jc w:val="both"/>
      </w:pPr>
      <w:r>
        <w:rPr>
          <w:rFonts w:ascii="Calibri" w:hAnsi="Calibri"/>
          <w:b w:val="0"/>
          <w:i w:val="0"/>
          <w:color w:val="2A3050"/>
          <w:sz w:val="22"/>
        </w:rPr>
        <w:t>J'ai découvert un pays vivant, fascinant, parfois généreux, mais aussi dur et difficile à comprendre. Je voulais raconter cette expérience de l'intérieur, à hauteur d'homme.</w:t>
      </w:r>
    </w:p>
    <w:p>
      <w:pPr>
        <w:keepNext/>
        <w:spacing w:before="240" w:after="80"/>
      </w:pPr>
      <w:r>
        <w:rPr>
          <w:rFonts w:ascii="Calibri" w:hAnsi="Calibri"/>
          <w:b/>
          <w:i w:val="0"/>
          <w:color w:val="1B2554"/>
          <w:sz w:val="24"/>
        </w:rPr>
        <w:t>Marc, le personnage principal, c'est vous ?</w:t>
      </w:r>
    </w:p>
    <w:p>
      <w:pPr>
        <w:spacing w:before="0" w:after="120" w:line="320" w:lineRule="auto"/>
        <w:jc w:val="both"/>
      </w:pPr>
      <w:r>
        <w:rPr>
          <w:rFonts w:ascii="Calibri" w:hAnsi="Calibri"/>
          <w:b w:val="0"/>
          <w:i w:val="0"/>
          <w:color w:val="2A3050"/>
          <w:sz w:val="22"/>
        </w:rPr>
        <w:t>Marc me ressemble énormément. Il porte mon histoire, mon énergie, mes erreurs et une grande partie de mes contradictions.</w:t>
      </w:r>
    </w:p>
    <w:p>
      <w:pPr>
        <w:spacing w:before="0" w:after="120" w:line="320" w:lineRule="auto"/>
        <w:jc w:val="both"/>
      </w:pPr>
      <w:r>
        <w:rPr>
          <w:rFonts w:ascii="Calibri" w:hAnsi="Calibri"/>
          <w:b w:val="0"/>
          <w:i w:val="0"/>
          <w:color w:val="2A3050"/>
          <w:sz w:val="22"/>
        </w:rPr>
        <w:t>Écrire un roman m'a permis de prendre une distance. Lorsque j'écrivais « Marc », je pouvais regarder cet homme de l'extérieur, observer son impatience, sa confiance et son aveuglement sans chercher constamment à le défendre.</w:t>
      </w:r>
    </w:p>
    <w:p>
      <w:r>
        <w:rPr>
          <w:rFonts w:ascii="Calibri" w:hAnsi="Calibri"/>
          <w:b w:val="0"/>
          <w:i w:val="0"/>
          <w:color w:val="2A3050"/>
          <w:sz w:val="22"/>
        </w:rPr>
        <w:br w:type="page"/>
      </w:r>
    </w:p>
    <w:p>
      <w:pPr>
        <w:keepNext/>
        <w:spacing w:before="0" w:after="120"/>
      </w:pPr>
      <w:r>
        <w:rPr>
          <w:rFonts w:ascii="Calibri" w:hAnsi="Calibri"/>
          <w:b/>
          <w:i w:val="0"/>
          <w:color w:val="7A2E2A"/>
          <w:sz w:val="19"/>
        </w:rPr>
        <w:t>ENTRETIEN</w:t>
      </w:r>
    </w:p>
    <w:p>
      <w:pPr>
        <w:pStyle w:val="Heading1"/>
        <w:keepNext/>
        <w:spacing w:before="360" w:after="200"/>
      </w:pPr>
      <w:r>
        <w:rPr>
          <w:rFonts w:ascii="Calibri" w:hAnsi="Calibri"/>
          <w:b/>
          <w:i w:val="0"/>
          <w:color w:val="1B2554"/>
          <w:sz w:val="36"/>
        </w:rPr>
        <w:t>Deux pays, un retour, une question universelle</w:t>
      </w:r>
    </w:p>
    <w:p>
      <w:pPr>
        <w:keepNext/>
        <w:spacing w:before="240" w:after="80"/>
      </w:pPr>
      <w:r>
        <w:rPr>
          <w:rFonts w:ascii="Calibri" w:hAnsi="Calibri"/>
          <w:b/>
          <w:i w:val="0"/>
          <w:color w:val="1B2554"/>
          <w:sz w:val="24"/>
        </w:rPr>
        <w:t>Le livre raconte-t-il une désillusion face à Israël ?</w:t>
      </w:r>
    </w:p>
    <w:p>
      <w:pPr>
        <w:spacing w:before="0" w:after="120" w:line="320" w:lineRule="auto"/>
        <w:jc w:val="both"/>
      </w:pPr>
      <w:r>
        <w:rPr>
          <w:rFonts w:ascii="Calibri" w:hAnsi="Calibri"/>
          <w:b w:val="0"/>
          <w:i w:val="0"/>
          <w:color w:val="2A3050"/>
          <w:sz w:val="22"/>
        </w:rPr>
        <w:t>Oui, mais pas seulement. Israël ne m'avait rien promis personnellement. C'est moi qui avais chargé ce pays de toutes mes attentes : une nouvelle vie, un sentiment d'appartenance, une réussite et peut-être une forme de réparation.</w:t>
      </w:r>
    </w:p>
    <w:p>
      <w:pPr>
        <w:spacing w:before="0" w:after="120" w:line="320" w:lineRule="auto"/>
        <w:jc w:val="both"/>
      </w:pPr>
      <w:r>
        <w:rPr>
          <w:rFonts w:ascii="Calibri" w:hAnsi="Calibri"/>
          <w:b w:val="0"/>
          <w:i w:val="0"/>
          <w:color w:val="2A3050"/>
          <w:sz w:val="22"/>
        </w:rPr>
        <w:t>Le véritable sujet du livre est aussi la confrontation d'un homme avec les illusions qu'il a lui-même fabriquées.</w:t>
      </w:r>
    </w:p>
    <w:p>
      <w:pPr>
        <w:keepNext/>
        <w:spacing w:before="240" w:after="80"/>
      </w:pPr>
      <w:r>
        <w:rPr>
          <w:rFonts w:ascii="Calibri" w:hAnsi="Calibri"/>
          <w:b/>
          <w:i w:val="0"/>
          <w:color w:val="1B2554"/>
          <w:sz w:val="24"/>
        </w:rPr>
        <w:t>Que signifie pour vous appartenir à deux pays ?</w:t>
      </w:r>
    </w:p>
    <w:p>
      <w:pPr>
        <w:spacing w:before="0" w:after="120" w:line="320" w:lineRule="auto"/>
        <w:jc w:val="both"/>
      </w:pPr>
      <w:r>
        <w:rPr>
          <w:rFonts w:ascii="Calibri" w:hAnsi="Calibri"/>
          <w:b w:val="0"/>
          <w:i w:val="0"/>
          <w:color w:val="2A3050"/>
          <w:sz w:val="22"/>
        </w:rPr>
        <w:t>Pendant longtemps, j'ai pensé que posséder deux identités signifiait avoir deux maisons. J'ai découvert que cela pouvait aussi signifier ne se sentir complètement chez soi dans aucune.</w:t>
      </w:r>
    </w:p>
    <w:p>
      <w:pPr>
        <w:spacing w:before="0" w:after="120" w:line="320" w:lineRule="auto"/>
        <w:jc w:val="both"/>
      </w:pPr>
      <w:r>
        <w:rPr>
          <w:rFonts w:ascii="Calibri" w:hAnsi="Calibri"/>
          <w:b w:val="0"/>
          <w:i w:val="0"/>
          <w:color w:val="2A3050"/>
          <w:sz w:val="22"/>
        </w:rPr>
        <w:t>Cette double appartenance est une richesse, mais elle comporte une forme de solitude. Avec le temps, j'ai cessé de considérer cette contradiction comme un problème à résoudre : je suis fait de cette tension entre les deux pays.</w:t>
      </w:r>
    </w:p>
    <w:p>
      <w:pPr>
        <w:keepNext/>
        <w:spacing w:before="240" w:after="80"/>
      </w:pPr>
      <w:r>
        <w:rPr>
          <w:rFonts w:ascii="Calibri" w:hAnsi="Calibri"/>
          <w:b/>
          <w:i w:val="0"/>
          <w:color w:val="1B2554"/>
          <w:sz w:val="24"/>
        </w:rPr>
        <w:t>Qu'aimeriez-vous que le lecteur retienne du livre ?</w:t>
      </w:r>
    </w:p>
    <w:p>
      <w:pPr>
        <w:spacing w:before="0" w:after="120" w:line="320" w:lineRule="auto"/>
        <w:jc w:val="both"/>
      </w:pPr>
      <w:r>
        <w:rPr>
          <w:rFonts w:ascii="Calibri" w:hAnsi="Calibri"/>
          <w:b w:val="0"/>
          <w:i w:val="0"/>
          <w:color w:val="2A3050"/>
          <w:sz w:val="22"/>
        </w:rPr>
        <w:t>J'aimerais qu'il comprenne qu'il ne s'agit pas seulement d'un livre sur Israël. Nous avons presque tous notre propre Tel-Aviv : un lieu, une personne, un projet ou une réussite sur lesquels nous avons placé l'espoir d'une vie meilleure.</w:t>
      </w:r>
    </w:p>
    <w:p>
      <w:pPr>
        <w:spacing w:before="0" w:after="120" w:line="320" w:lineRule="auto"/>
        <w:jc w:val="both"/>
      </w:pPr>
      <w:r>
        <w:rPr>
          <w:rFonts w:ascii="Calibri" w:hAnsi="Calibri"/>
          <w:b w:val="0"/>
          <w:i w:val="0"/>
          <w:color w:val="2A3050"/>
          <w:sz w:val="22"/>
        </w:rPr>
        <w:t>Je voudrais que le lecteur accompagne Marc sans le juger trop vite et reconnaisse peut-être, dans ses choix, une partie de ses propres illusions. Ce livre parle de la chute d'un rêve, mais aussi de la possibilité de continuer après cette chute.</w:t>
      </w:r>
    </w:p>
    <w:p>
      <w:pPr>
        <w:spacing w:before="140" w:after="200" w:line="288" w:lineRule="auto"/>
        <w:ind w:left="454" w:right="227"/>
        <w:pBdr>
          <w:left w:val="single" w:sz="16" w:space="12" w:color="7A2E2A"/>
        </w:pBdr>
      </w:pPr>
      <w:r>
        <w:rPr>
          <w:rFonts w:ascii="Calibri" w:hAnsi="Calibri"/>
          <w:b w:val="0"/>
          <w:i/>
          <w:color w:val="1B2554"/>
          <w:sz w:val="27"/>
        </w:rPr>
        <w:t>“On peut changer de pays sans parvenir à échapper à soi-même.”</w:t>
      </w:r>
      <w:r>
        <w:rPr>
          <w:rFonts w:ascii="Calibri" w:hAnsi="Calibri"/>
          <w:b/>
          <w:i w:val="0"/>
          <w:color w:val="7A2E2A"/>
          <w:sz w:val="19"/>
        </w:rPr>
        <w:br/>
        <w:t>- Michael Brenner</w:t>
      </w:r>
    </w:p>
    <w:p>
      <w:pPr>
        <w:pStyle w:val="Heading2"/>
        <w:keepNext/>
        <w:spacing w:before="240" w:after="120"/>
      </w:pPr>
      <w:r>
        <w:rPr>
          <w:rFonts w:ascii="Calibri" w:hAnsi="Calibri"/>
          <w:b/>
          <w:i w:val="0"/>
          <w:color w:val="7A2E2A"/>
          <w:sz w:val="26"/>
        </w:rPr>
        <w:t>L'entretien intégral</w:t>
      </w:r>
    </w:p>
    <w:p>
      <w:pPr>
        <w:spacing w:after="0"/>
      </w:pPr>
      <w:r>
        <w:rPr>
          <w:rFonts w:ascii="Calibri" w:hAnsi="Calibri"/>
          <w:b w:val="0"/>
          <w:i w:val="0"/>
          <w:color w:val="2A3050"/>
          <w:sz w:val="22"/>
        </w:rPr>
        <w:t xml:space="preserve">Les dix questions et réponses sont disponibles sur </w:t>
      </w:r>
      <w:hyperlink r:id="rId16">
        <w:r>
          <w:rPr>
            <w:rFonts w:ascii="Calibri" w:hAnsi="Calibri"/>
            <w:color w:val="1B2554"/>
            <w:sz w:val="22"/>
            <w:b/>
            <w:u w:val="single"/>
          </w:rPr>
          <w:t>michaelbrenner.fr/interview-michael-brenner/</w:t>
        </w:r>
      </w:hyperlink>
    </w:p>
    <w:p>
      <w:r>
        <w:rPr>
          <w:rFonts w:ascii="Calibri" w:hAnsi="Calibri"/>
          <w:b w:val="0"/>
          <w:i w:val="0"/>
          <w:color w:val="2A3050"/>
          <w:sz w:val="22"/>
        </w:rPr>
        <w:br w:type="page"/>
      </w:r>
    </w:p>
    <w:p>
      <w:pPr>
        <w:keepNext/>
        <w:spacing w:before="0" w:after="120"/>
      </w:pPr>
      <w:r>
        <w:rPr>
          <w:rFonts w:ascii="Calibri" w:hAnsi="Calibri"/>
          <w:b/>
          <w:i w:val="0"/>
          <w:color w:val="7A2E2A"/>
          <w:sz w:val="19"/>
        </w:rPr>
        <w:t>CITATIONS</w:t>
      </w:r>
    </w:p>
    <w:p>
      <w:pPr>
        <w:pStyle w:val="Heading1"/>
        <w:keepNext/>
        <w:spacing w:before="360" w:after="200"/>
      </w:pPr>
      <w:r>
        <w:rPr>
          <w:rFonts w:ascii="Calibri" w:hAnsi="Calibri"/>
          <w:b/>
          <w:i w:val="0"/>
          <w:color w:val="1B2554"/>
          <w:sz w:val="36"/>
        </w:rPr>
        <w:t>Phrases à retenir</w:t>
      </w:r>
    </w:p>
    <w:p>
      <w:pPr>
        <w:spacing w:before="0" w:after="160" w:line="320" w:lineRule="auto"/>
        <w:jc w:val="both"/>
      </w:pPr>
      <w:r>
        <w:rPr>
          <w:rFonts w:ascii="Calibri" w:hAnsi="Calibri"/>
          <w:b w:val="0"/>
          <w:i/>
          <w:color w:val="2A3050"/>
          <w:sz w:val="22"/>
        </w:rPr>
        <w:t>Ces citations du livre et de l'auteur peuvent être reproduites dans un article, une chronique ou une présentation, avec la mention « Michael Brenner, auteur de Goodbye, Tel Aviv - Volume I ».</w:t>
      </w:r>
    </w:p>
    <w:p>
      <w:pPr>
        <w:spacing w:before="140" w:after="200" w:line="288" w:lineRule="auto"/>
        <w:ind w:left="454" w:right="227"/>
        <w:pBdr>
          <w:left w:val="single" w:sz="16" w:space="12" w:color="7A2E2A"/>
        </w:pBdr>
      </w:pPr>
      <w:r>
        <w:rPr>
          <w:rFonts w:ascii="Calibri" w:hAnsi="Calibri"/>
          <w:b w:val="0"/>
          <w:i/>
          <w:color w:val="1B2554"/>
          <w:sz w:val="27"/>
        </w:rPr>
        <w:t>“J'ai écrit ce livre parce que ce que j'avais vécu ne ressemblait à rien de ce que l'on m'avait raconté.”</w:t>
      </w:r>
      <w:r>
        <w:rPr>
          <w:rFonts w:ascii="Calibri" w:hAnsi="Calibri"/>
          <w:b/>
          <w:i w:val="0"/>
          <w:color w:val="7A2E2A"/>
          <w:sz w:val="19"/>
        </w:rPr>
        <w:br/>
        <w:t>- Michael Brenner</w:t>
      </w:r>
    </w:p>
    <w:p>
      <w:pPr>
        <w:spacing w:before="140" w:after="200" w:line="288" w:lineRule="auto"/>
        <w:ind w:left="454" w:right="227"/>
        <w:pBdr>
          <w:left w:val="single" w:sz="16" w:space="12" w:color="7A2E2A"/>
        </w:pBdr>
      </w:pPr>
      <w:r>
        <w:rPr>
          <w:rFonts w:ascii="Calibri" w:hAnsi="Calibri"/>
          <w:b w:val="0"/>
          <w:i/>
          <w:color w:val="1B2554"/>
          <w:sz w:val="27"/>
        </w:rPr>
        <w:t>“On peut changer de pays sans parvenir à échapper à soi-même.”</w:t>
      </w:r>
      <w:r>
        <w:rPr>
          <w:rFonts w:ascii="Calibri" w:hAnsi="Calibri"/>
          <w:b/>
          <w:i w:val="0"/>
          <w:color w:val="7A2E2A"/>
          <w:sz w:val="19"/>
        </w:rPr>
        <w:br/>
        <w:t>- Michael Brenner</w:t>
      </w:r>
    </w:p>
    <w:p>
      <w:pPr>
        <w:spacing w:before="140" w:after="200" w:line="288" w:lineRule="auto"/>
        <w:ind w:left="454" w:right="227"/>
        <w:pBdr>
          <w:left w:val="single" w:sz="16" w:space="12" w:color="7A2E2A"/>
        </w:pBdr>
      </w:pPr>
      <w:r>
        <w:rPr>
          <w:rFonts w:ascii="Calibri" w:hAnsi="Calibri"/>
          <w:b w:val="0"/>
          <w:i/>
          <w:color w:val="1B2554"/>
          <w:sz w:val="27"/>
        </w:rPr>
        <w:t>“Pendant longtemps, j'ai pensé que posséder deux identités signifiait avoir deux maisons. J'ai découvert que cela pouvait aussi signifier ne se sentir complètement chez soi dans aucune.”</w:t>
      </w:r>
      <w:r>
        <w:rPr>
          <w:rFonts w:ascii="Calibri" w:hAnsi="Calibri"/>
          <w:b/>
          <w:i w:val="0"/>
          <w:color w:val="7A2E2A"/>
          <w:sz w:val="19"/>
        </w:rPr>
        <w:br/>
        <w:t>- Michael Brenner</w:t>
      </w:r>
    </w:p>
    <w:p>
      <w:pPr>
        <w:spacing w:before="140" w:after="200" w:line="288" w:lineRule="auto"/>
        <w:ind w:left="454" w:right="227"/>
        <w:pBdr>
          <w:left w:val="single" w:sz="16" w:space="12" w:color="7A2E2A"/>
        </w:pBdr>
      </w:pPr>
      <w:r>
        <w:rPr>
          <w:rFonts w:ascii="Calibri" w:hAnsi="Calibri"/>
          <w:b w:val="0"/>
          <w:i/>
          <w:color w:val="1B2554"/>
          <w:sz w:val="27"/>
        </w:rPr>
        <w:t>“Tout ce que je touchais se transformait en or mais, après un temps, cela se changeait en poussière.”</w:t>
      </w:r>
      <w:r>
        <w:rPr>
          <w:rFonts w:ascii="Calibri" w:hAnsi="Calibri"/>
          <w:b/>
          <w:i w:val="0"/>
          <w:color w:val="7A2E2A"/>
          <w:sz w:val="19"/>
        </w:rPr>
        <w:br/>
        <w:t>- Michael Brenner</w:t>
      </w:r>
    </w:p>
    <w:p>
      <w:pPr>
        <w:spacing w:before="140" w:after="200" w:line="288" w:lineRule="auto"/>
        <w:ind w:left="454" w:right="227"/>
        <w:pBdr>
          <w:left w:val="single" w:sz="16" w:space="12" w:color="7A2E2A"/>
        </w:pBdr>
      </w:pPr>
      <w:r>
        <w:rPr>
          <w:rFonts w:ascii="Calibri" w:hAnsi="Calibri"/>
          <w:b w:val="0"/>
          <w:i/>
          <w:color w:val="1B2554"/>
          <w:sz w:val="27"/>
        </w:rPr>
        <w:t>“Partir demande du courage. Revenir en demande parfois davantage.”</w:t>
      </w:r>
      <w:r>
        <w:rPr>
          <w:rFonts w:ascii="Calibri" w:hAnsi="Calibri"/>
          <w:b/>
          <w:i w:val="0"/>
          <w:color w:val="7A2E2A"/>
          <w:sz w:val="19"/>
        </w:rPr>
        <w:br/>
        <w:t>- Michael Brenner</w:t>
      </w:r>
    </w:p>
    <w:p>
      <w:r>
        <w:rPr>
          <w:rFonts w:ascii="Calibri" w:hAnsi="Calibri"/>
          <w:b w:val="0"/>
          <w:i w:val="0"/>
          <w:color w:val="2A3050"/>
          <w:sz w:val="22"/>
        </w:rPr>
        <w:br w:type="page"/>
      </w:r>
    </w:p>
    <w:p>
      <w:pPr>
        <w:keepNext/>
        <w:spacing w:before="0" w:after="120"/>
      </w:pPr>
      <w:r>
        <w:rPr>
          <w:rFonts w:ascii="Calibri" w:hAnsi="Calibri"/>
          <w:b/>
          <w:i w:val="0"/>
          <w:color w:val="7A2E2A"/>
          <w:sz w:val="19"/>
        </w:rPr>
        <w:t>EXTRAIT</w:t>
      </w:r>
    </w:p>
    <w:p>
      <w:pPr>
        <w:pStyle w:val="Heading1"/>
        <w:keepNext/>
        <w:spacing w:before="360" w:after="200"/>
      </w:pPr>
      <w:r>
        <w:rPr>
          <w:rFonts w:ascii="Calibri" w:hAnsi="Calibri"/>
          <w:b/>
          <w:i w:val="0"/>
          <w:color w:val="1B2554"/>
          <w:sz w:val="36"/>
        </w:rPr>
        <w:t>Les premières pages</w:t>
      </w:r>
    </w:p>
    <w:p>
      <w:pPr>
        <w:spacing w:after="200"/>
        <w:jc w:val="center"/>
      </w:pPr>
      <w:r>
        <w:rPr>
          <w:rFonts w:ascii="Calibri" w:hAnsi="Calibri"/>
          <w:b/>
          <w:i w:val="0"/>
          <w:color w:val="7A2E2A"/>
          <w:sz w:val="20"/>
        </w:rPr>
        <w:t>I  |  OUGANDA, JUILLET 2018</w:t>
      </w:r>
    </w:p>
    <w:p>
      <w:pPr>
        <w:spacing w:before="0" w:after="140" w:line="320" w:lineRule="auto"/>
        <w:jc w:val="both"/>
      </w:pPr>
      <w:r>
        <w:rPr>
          <w:rFonts w:ascii="Calibri" w:hAnsi="Calibri"/>
          <w:b w:val="0"/>
          <w:i w:val="0"/>
          <w:color w:val="2A3050"/>
          <w:sz w:val="22"/>
        </w:rPr>
        <w:t>Tel-Aviv. Je sortais de mon appartement. Je venais tout juste d'emménager dans un nouveau complexe du centre-ville, près des tours Azrieli et de leur immense centre commercial. Ce quartier s'appelait Midtown, comme à New York. Ce n'était pas là que j'avais commencé ma vie en Israël : j'y vivais déjà depuis deux ans.</w:t>
      </w:r>
    </w:p>
    <w:p>
      <w:pPr>
        <w:spacing w:before="0" w:after="140" w:line="320" w:lineRule="auto"/>
        <w:jc w:val="both"/>
      </w:pPr>
      <w:r>
        <w:rPr>
          <w:rFonts w:ascii="Calibri" w:hAnsi="Calibri"/>
          <w:b w:val="0"/>
          <w:i w:val="0"/>
          <w:color w:val="2A3050"/>
          <w:sz w:val="22"/>
        </w:rPr>
        <w:t>Mon appartement était niché au dixième étage d'une tour qui en comptait cinquante. C'était un trois-pièces moderne, très lumineux, avec une vue splendide sur la ville et, au loin, sur la mer et le port, le Namal, lorsque les conditions météorologiques le permettaient.</w:t>
      </w:r>
    </w:p>
    <w:p>
      <w:pPr>
        <w:spacing w:before="0" w:after="140" w:line="320" w:lineRule="auto"/>
        <w:jc w:val="both"/>
      </w:pPr>
      <w:r>
        <w:rPr>
          <w:rFonts w:ascii="Calibri" w:hAnsi="Calibri"/>
          <w:b w:val="0"/>
          <w:i w:val="0"/>
          <w:color w:val="2A3050"/>
          <w:sz w:val="22"/>
        </w:rPr>
        <w:t>J'étais d'abord venu en Israël pour le travail. Avant cela, j'habitais en France. J'étais marié et père de trois enfants.</w:t>
      </w:r>
    </w:p>
    <w:p>
      <w:pPr>
        <w:spacing w:before="0" w:after="140" w:line="320" w:lineRule="auto"/>
        <w:jc w:val="both"/>
      </w:pPr>
      <w:r>
        <w:rPr>
          <w:rFonts w:ascii="Calibri" w:hAnsi="Calibri"/>
          <w:b w:val="0"/>
          <w:i w:val="0"/>
          <w:color w:val="2A3050"/>
          <w:sz w:val="22"/>
        </w:rPr>
        <w:t>[...]</w:t>
      </w:r>
    </w:p>
    <w:p>
      <w:pPr>
        <w:spacing w:before="0" w:after="140" w:line="320" w:lineRule="auto"/>
        <w:jc w:val="both"/>
      </w:pPr>
      <w:r>
        <w:rPr>
          <w:rFonts w:ascii="Calibri" w:hAnsi="Calibri"/>
          <w:b w:val="0"/>
          <w:i w:val="0"/>
          <w:color w:val="2A3050"/>
          <w:sz w:val="22"/>
        </w:rPr>
        <w:t>Il était presque dix heures du matin. J'allais récupérer mon scooter au parking de mon ancien immeuble, où vivait encore Sarah. Le temps était idyllique. À vrai dire, fin juillet, dans la Ville blanche, ce temps n'avait rien d'exceptionnel : il y faisait beau huit mois par an.</w:t>
      </w:r>
    </w:p>
    <w:p>
      <w:pPr>
        <w:spacing w:before="0" w:after="140" w:line="320" w:lineRule="auto"/>
        <w:jc w:val="both"/>
      </w:pPr>
      <w:r>
        <w:rPr>
          <w:rFonts w:ascii="Calibri" w:hAnsi="Calibri"/>
          <w:b w:val="0"/>
          <w:i w:val="0"/>
          <w:color w:val="2A3050"/>
          <w:sz w:val="22"/>
        </w:rPr>
        <w:t>Je pris l'ascenseur. En arrivant dans le lobby, les portes s'ouvrirent. Je vis trois grands gaillards. Ils m'empêchaient de sortir. L'un d'eux me montra sa carte de police et commença à me parler. Je l'interrompis.</w:t>
      </w:r>
    </w:p>
    <w:p>
      <w:pPr>
        <w:spacing w:before="0" w:after="140" w:line="320" w:lineRule="auto"/>
        <w:ind w:left="567"/>
        <w:jc w:val="left"/>
      </w:pPr>
      <w:r>
        <w:rPr>
          <w:rFonts w:ascii="Calibri" w:hAnsi="Calibri"/>
          <w:b w:val="0"/>
          <w:i w:val="0"/>
          <w:color w:val="2A3050"/>
          <w:sz w:val="22"/>
        </w:rPr>
        <w:t>- English or French, Mister!</w:t>
      </w:r>
    </w:p>
    <w:p>
      <w:pPr>
        <w:spacing w:before="0" w:after="140" w:line="320" w:lineRule="auto"/>
        <w:ind w:left="567"/>
        <w:jc w:val="left"/>
      </w:pPr>
      <w:r>
        <w:rPr>
          <w:rFonts w:ascii="Calibri" w:hAnsi="Calibri"/>
          <w:b w:val="0"/>
          <w:i w:val="0"/>
          <w:color w:val="2A3050"/>
          <w:sz w:val="22"/>
        </w:rPr>
        <w:t>- Mister Cohen, you are under arrest!</w:t>
      </w:r>
    </w:p>
    <w:p>
      <w:pPr>
        <w:spacing w:before="0" w:after="140" w:line="320" w:lineRule="auto"/>
        <w:jc w:val="both"/>
      </w:pPr>
      <w:r>
        <w:rPr>
          <w:rFonts w:ascii="Calibri" w:hAnsi="Calibri"/>
          <w:b w:val="0"/>
          <w:i w:val="0"/>
          <w:color w:val="2A3050"/>
          <w:sz w:val="22"/>
        </w:rPr>
        <w:t>Il me mit les menottes. J'étais impressionné : c'était une première pour moi.</w:t>
      </w:r>
    </w:p>
    <w:p>
      <w:pPr>
        <w:spacing w:before="160" w:after="0"/>
        <w:jc w:val="center"/>
      </w:pPr>
      <w:r>
        <w:rPr>
          <w:rFonts w:ascii="Calibri" w:hAnsi="Calibri"/>
          <w:b w:val="0"/>
          <w:i/>
          <w:color w:val="696E84"/>
          <w:sz w:val="19"/>
        </w:rPr>
        <w:t>Lire le premier chapitre complet sur michaelbrenner.fr/goodbye-tel-aviv/</w:t>
      </w:r>
    </w:p>
    <w:p>
      <w:r>
        <w:rPr>
          <w:rFonts w:ascii="Calibri" w:hAnsi="Calibri"/>
          <w:b w:val="0"/>
          <w:i w:val="0"/>
          <w:color w:val="2A3050"/>
          <w:sz w:val="22"/>
        </w:rPr>
        <w:br w:type="page"/>
      </w:r>
    </w:p>
    <w:p>
      <w:pPr>
        <w:keepNext/>
        <w:spacing w:before="0" w:after="120"/>
      </w:pPr>
      <w:r>
        <w:rPr>
          <w:rFonts w:ascii="Calibri" w:hAnsi="Calibri"/>
          <w:b/>
          <w:i w:val="0"/>
          <w:color w:val="7A2E2A"/>
          <w:sz w:val="19"/>
        </w:rPr>
        <w:t>PRESSE ET MÉDIAS</w:t>
      </w:r>
    </w:p>
    <w:p>
      <w:pPr>
        <w:pStyle w:val="Heading1"/>
        <w:keepNext/>
        <w:spacing w:before="360" w:after="200"/>
      </w:pPr>
      <w:r>
        <w:rPr>
          <w:rFonts w:ascii="Calibri" w:hAnsi="Calibri"/>
          <w:b/>
          <w:i w:val="0"/>
          <w:color w:val="1B2554"/>
          <w:sz w:val="36"/>
        </w:rPr>
        <w:t>Informations pratiques et ressources</w:t>
      </w:r>
    </w:p>
    <w:p>
      <w:pPr>
        <w:pStyle w:val="Heading2"/>
        <w:keepNext/>
        <w:spacing w:before="240" w:after="120"/>
      </w:pPr>
      <w:r>
        <w:rPr>
          <w:rFonts w:ascii="Calibri" w:hAnsi="Calibri"/>
          <w:b/>
          <w:i w:val="0"/>
          <w:color w:val="7A2E2A"/>
          <w:sz w:val="26"/>
        </w:rPr>
        <w:t>Contact</w:t>
      </w:r>
    </w:p>
    <w:p>
      <w:pPr>
        <w:spacing w:before="0" w:after="160" w:line="320" w:lineRule="auto"/>
        <w:jc w:val="both"/>
      </w:pPr>
      <w:r>
        <w:rPr>
          <w:rFonts w:ascii="Calibri" w:hAnsi="Calibri"/>
          <w:b w:val="0"/>
          <w:i w:val="0"/>
          <w:color w:val="2A3050"/>
          <w:sz w:val="22"/>
        </w:rPr>
        <w:t>Demandes d'interview, chronique, exemplaire presse ou rencontre :</w:t>
      </w:r>
    </w:p>
    <w:p>
      <w:pPr>
        <w:spacing w:after="80"/>
      </w:pPr>
      <w:r>
        <w:rPr>
          <w:rFonts w:ascii="Calibri" w:hAnsi="Calibri"/>
          <w:b/>
          <w:i w:val="0"/>
          <w:color w:val="1B2554"/>
          <w:sz w:val="22"/>
        </w:rPr>
        <w:t xml:space="preserve">Michael Brenner  |  </w:t>
      </w:r>
      <w:hyperlink r:id="rId14">
        <w:r>
          <w:rPr>
            <w:rFonts w:ascii="Calibri" w:hAnsi="Calibri"/>
            <w:color w:val="1B2554"/>
            <w:sz w:val="22"/>
            <w:b/>
            <w:u w:val="single"/>
          </w:rPr>
          <w:t>contact@michaelbrenner.fr</w:t>
        </w:r>
      </w:hyperlink>
    </w:p>
    <w:p>
      <w:pPr>
        <w:spacing w:after="160"/>
      </w:pPr>
      <w:hyperlink r:id="rId17">
        <w:r>
          <w:rPr>
            <w:rFonts w:ascii="Calibri" w:hAnsi="Calibri"/>
            <w:color w:val="1B2554"/>
            <w:sz w:val="22"/>
            <w:b/>
            <w:u w:val="single"/>
          </w:rPr>
          <w:t>Site officiel : michaelbrenner.fr</w:t>
        </w:r>
      </w:hyperlink>
    </w:p>
    <w:p>
      <w:pPr>
        <w:pStyle w:val="Heading2"/>
        <w:keepNext/>
        <w:spacing w:before="240" w:after="120"/>
      </w:pPr>
      <w:r>
        <w:rPr>
          <w:rFonts w:ascii="Calibri" w:hAnsi="Calibri"/>
          <w:b/>
          <w:i w:val="0"/>
          <w:color w:val="7A2E2A"/>
          <w:sz w:val="26"/>
        </w:rPr>
        <w:t>Dans le kit téléchargeable</w:t>
      </w:r>
    </w:p>
    <w:tbl>
      <w:tblPr>
        <w:tblW w:type="dxa" w:w="9638"/>
        <w:jc w:val="left"/>
        <w:tblLayout w:type="fixed"/>
        <w:tblLook w:firstColumn="1" w:firstRow="1" w:lastColumn="0" w:lastRow="0" w:noHBand="0" w:noVBand="1" w:val="04A0"/>
        <w:tblInd w:w="120" w:type="dxa"/>
        <w:tblBorders>
          <w:top w:val="single" w:sz="6" w:color="D7D9E3"/>
          <w:left w:val="single" w:sz="6" w:color="D7D9E3"/>
          <w:bottom w:val="single" w:sz="6" w:color="D7D9E3"/>
          <w:right w:val="single" w:sz="6" w:color="D7D9E3"/>
          <w:insideH w:val="single" w:sz="6" w:color="D7D9E3"/>
          <w:insideV w:val="single" w:sz="6" w:color="D7D9E3"/>
        </w:tblBorders>
      </w:tblPr>
      <w:tblGrid>
        <w:gridCol w:w="2880"/>
        <w:gridCol w:w="6758"/>
      </w:tblGrid>
      <w:tr>
        <w:trPr>
          <w:tblHeader w:val="true"/>
        </w:trPr>
        <w:tc>
          <w:tcPr>
            <w:tcW w:type="dxa" w:w="2880"/>
            <w:tcMar>
              <w:top w:w="100" w:type="dxa"/>
              <w:bottom w:w="100" w:type="dxa"/>
              <w:start w:w="120" w:type="dxa"/>
              <w:end w:w="120" w:type="dxa"/>
            </w:tcMar>
            <w:vAlign w:val="center"/>
            <w:shd w:fill="1B2554"/>
          </w:tcPr>
          <w:p>
            <w:pPr>
              <w:spacing w:after="0"/>
            </w:pPr>
            <w:r>
              <w:rPr>
                <w:rFonts w:ascii="Calibri" w:hAnsi="Calibri"/>
                <w:b/>
                <w:i w:val="0"/>
                <w:color w:val="FFFFFF"/>
                <w:sz w:val="20"/>
              </w:rPr>
              <w:t>Élément</w:t>
            </w:r>
          </w:p>
        </w:tc>
        <w:tc>
          <w:tcPr>
            <w:tcW w:type="dxa" w:w="6758"/>
            <w:tcMar>
              <w:top w:w="100" w:type="dxa"/>
              <w:bottom w:w="100" w:type="dxa"/>
              <w:start w:w="120" w:type="dxa"/>
              <w:end w:w="120" w:type="dxa"/>
            </w:tcMar>
            <w:vAlign w:val="center"/>
            <w:shd w:fill="1B2554"/>
          </w:tcPr>
          <w:p>
            <w:pPr>
              <w:spacing w:after="0"/>
            </w:pPr>
            <w:r>
              <w:rPr>
                <w:rFonts w:ascii="Calibri" w:hAnsi="Calibri"/>
                <w:b/>
                <w:i w:val="0"/>
                <w:color w:val="FFFFFF"/>
                <w:sz w:val="20"/>
              </w:rPr>
              <w:t>Usage</w:t>
            </w:r>
          </w:p>
        </w:tc>
      </w:tr>
      <w:tr>
        <w:tc>
          <w:tcPr>
            <w:tcW w:type="dxa" w:w="2880"/>
            <w:tcMar>
              <w:top w:w="100" w:type="dxa"/>
              <w:bottom w:w="100" w:type="dxa"/>
              <w:start w:w="120" w:type="dxa"/>
              <w:end w:w="120" w:type="dxa"/>
            </w:tcMar>
            <w:shd w:fill="EFE7CB"/>
          </w:tcPr>
          <w:p>
            <w:pPr>
              <w:spacing w:after="0"/>
            </w:pPr>
            <w:r>
              <w:rPr>
                <w:rFonts w:ascii="Calibri" w:hAnsi="Calibri"/>
                <w:b/>
                <w:i w:val="0"/>
                <w:color w:val="1B2554"/>
                <w:sz w:val="20"/>
              </w:rPr>
              <w:t>Dossier de presse</w:t>
            </w:r>
          </w:p>
        </w:tc>
        <w:tc>
          <w:tcPr>
            <w:tcW w:type="dxa" w:w="6758"/>
            <w:tcMar>
              <w:top w:w="100" w:type="dxa"/>
              <w:bottom w:w="100" w:type="dxa"/>
              <w:start w:w="120" w:type="dxa"/>
              <w:end w:w="120" w:type="dxa"/>
            </w:tcMar>
            <w:shd w:fill="FFFFFF"/>
          </w:tcPr>
          <w:p>
            <w:pPr>
              <w:spacing w:after="0"/>
            </w:pPr>
            <w:r>
              <w:rPr>
                <w:rFonts w:ascii="Calibri" w:hAnsi="Calibri"/>
                <w:b w:val="0"/>
                <w:i w:val="0"/>
                <w:color w:val="2A3050"/>
                <w:sz w:val="21"/>
              </w:rPr>
              <w:t>PDF prêt à transmettre et version Word modifiable.</w:t>
            </w:r>
          </w:p>
        </w:tc>
      </w:tr>
      <w:tr>
        <w:tc>
          <w:tcPr>
            <w:tcW w:type="dxa" w:w="2880"/>
            <w:tcMar>
              <w:top w:w="100" w:type="dxa"/>
              <w:bottom w:w="100" w:type="dxa"/>
              <w:start w:w="120" w:type="dxa"/>
              <w:end w:w="120" w:type="dxa"/>
            </w:tcMar>
            <w:shd w:fill="EFE7CB"/>
          </w:tcPr>
          <w:p>
            <w:pPr>
              <w:spacing w:after="0"/>
            </w:pPr>
            <w:r>
              <w:rPr>
                <w:rFonts w:ascii="Calibri" w:hAnsi="Calibri"/>
                <w:b/>
                <w:i w:val="0"/>
                <w:color w:val="1B2554"/>
                <w:sz w:val="20"/>
              </w:rPr>
              <w:t>Communiqué</w:t>
            </w:r>
          </w:p>
        </w:tc>
        <w:tc>
          <w:tcPr>
            <w:tcW w:type="dxa" w:w="6758"/>
            <w:tcMar>
              <w:top w:w="100" w:type="dxa"/>
              <w:bottom w:w="100" w:type="dxa"/>
              <w:start w:w="120" w:type="dxa"/>
              <w:end w:w="120" w:type="dxa"/>
            </w:tcMar>
            <w:shd w:fill="FBF8ED"/>
          </w:tcPr>
          <w:p>
            <w:pPr>
              <w:spacing w:after="0"/>
            </w:pPr>
            <w:r>
              <w:rPr>
                <w:rFonts w:ascii="Calibri" w:hAnsi="Calibri"/>
                <w:b w:val="0"/>
                <w:i w:val="0"/>
                <w:color w:val="2A3050"/>
                <w:sz w:val="21"/>
              </w:rPr>
              <w:t>Texte court copiable dans un e-mail, une dépêche ou une fiche de programmation.</w:t>
            </w:r>
          </w:p>
        </w:tc>
      </w:tr>
      <w:tr>
        <w:tc>
          <w:tcPr>
            <w:tcW w:type="dxa" w:w="2880"/>
            <w:tcMar>
              <w:top w:w="100" w:type="dxa"/>
              <w:bottom w:w="100" w:type="dxa"/>
              <w:start w:w="120" w:type="dxa"/>
              <w:end w:w="120" w:type="dxa"/>
            </w:tcMar>
            <w:shd w:fill="EFE7CB"/>
          </w:tcPr>
          <w:p>
            <w:pPr>
              <w:spacing w:after="0"/>
            </w:pPr>
            <w:r>
              <w:rPr>
                <w:rFonts w:ascii="Calibri" w:hAnsi="Calibri"/>
                <w:b/>
                <w:i w:val="0"/>
                <w:color w:val="1B2554"/>
                <w:sz w:val="20"/>
              </w:rPr>
              <w:t>Couverture</w:t>
            </w:r>
          </w:p>
        </w:tc>
        <w:tc>
          <w:tcPr>
            <w:tcW w:type="dxa" w:w="6758"/>
            <w:tcMar>
              <w:top w:w="100" w:type="dxa"/>
              <w:bottom w:w="100" w:type="dxa"/>
              <w:start w:w="120" w:type="dxa"/>
              <w:end w:w="120" w:type="dxa"/>
            </w:tcMar>
            <w:shd w:fill="FFFFFF"/>
          </w:tcPr>
          <w:p>
            <w:pPr>
              <w:spacing w:after="0"/>
            </w:pPr>
            <w:r>
              <w:rPr>
                <w:rFonts w:ascii="Calibri" w:hAnsi="Calibri"/>
                <w:b w:val="0"/>
                <w:i w:val="0"/>
                <w:color w:val="2A3050"/>
                <w:sz w:val="21"/>
              </w:rPr>
              <w:t>Visuel JPEG haute définition, fourni pour illustrer les contenus consacrés au livre.</w:t>
            </w:r>
          </w:p>
        </w:tc>
      </w:tr>
      <w:tr>
        <w:tc>
          <w:tcPr>
            <w:tcW w:type="dxa" w:w="2880"/>
            <w:tcMar>
              <w:top w:w="100" w:type="dxa"/>
              <w:bottom w:w="100" w:type="dxa"/>
              <w:start w:w="120" w:type="dxa"/>
              <w:end w:w="120" w:type="dxa"/>
            </w:tcMar>
            <w:shd w:fill="EFE7CB"/>
          </w:tcPr>
          <w:p>
            <w:pPr>
              <w:spacing w:after="0"/>
            </w:pPr>
            <w:r>
              <w:rPr>
                <w:rFonts w:ascii="Calibri" w:hAnsi="Calibri"/>
                <w:b/>
                <w:i w:val="0"/>
                <w:color w:val="1B2554"/>
                <w:sz w:val="20"/>
              </w:rPr>
              <w:t>Entretien</w:t>
            </w:r>
          </w:p>
        </w:tc>
        <w:tc>
          <w:tcPr>
            <w:tcW w:type="dxa" w:w="6758"/>
            <w:tcMar>
              <w:top w:w="100" w:type="dxa"/>
              <w:bottom w:w="100" w:type="dxa"/>
              <w:start w:w="120" w:type="dxa"/>
              <w:end w:w="120" w:type="dxa"/>
            </w:tcMar>
            <w:shd w:fill="FBF8ED"/>
          </w:tcPr>
          <w:p>
            <w:pPr>
              <w:spacing w:after="0"/>
            </w:pPr>
            <w:r>
              <w:rPr>
                <w:rFonts w:ascii="Calibri" w:hAnsi="Calibri"/>
                <w:b w:val="0"/>
                <w:i w:val="0"/>
                <w:color w:val="2A3050"/>
                <w:sz w:val="21"/>
              </w:rPr>
              <w:t>Version intégrale disponible sur le site de l'auteur.</w:t>
            </w:r>
          </w:p>
        </w:tc>
      </w:tr>
    </w:tbl>
    <w:p>
      <w:r>
        <w:rPr>
          <w:rFonts w:ascii="Calibri" w:hAnsi="Calibri"/>
          <w:b w:val="0"/>
          <w:i w:val="0"/>
          <w:color w:val="2A3050"/>
          <w:sz w:val="22"/>
        </w:rPr>
        <w:br w:type="page"/>
      </w:r>
    </w:p>
    <w:p>
      <w:pPr>
        <w:keepNext/>
        <w:spacing w:before="0" w:after="120"/>
      </w:pPr>
      <w:r>
        <w:rPr>
          <w:rFonts w:ascii="Calibri" w:hAnsi="Calibri"/>
          <w:b/>
          <w:i w:val="0"/>
          <w:color w:val="7A2E2A"/>
          <w:sz w:val="19"/>
        </w:rPr>
        <w:t>UTILISATION</w:t>
      </w:r>
    </w:p>
    <w:p>
      <w:pPr>
        <w:pStyle w:val="Heading1"/>
        <w:keepNext/>
        <w:spacing w:before="360" w:after="200"/>
      </w:pPr>
      <w:r>
        <w:rPr>
          <w:rFonts w:ascii="Calibri" w:hAnsi="Calibri"/>
          <w:b/>
          <w:i w:val="0"/>
          <w:color w:val="1B2554"/>
          <w:sz w:val="36"/>
        </w:rPr>
        <w:t>Crédits et conditions</w:t>
      </w:r>
    </w:p>
    <w:p>
      <w:pPr>
        <w:pStyle w:val="Heading2"/>
        <w:keepNext/>
        <w:spacing w:before="240" w:after="200"/>
      </w:pPr>
      <w:r>
        <w:rPr>
          <w:rFonts w:ascii="Calibri" w:hAnsi="Calibri"/>
          <w:b/>
          <w:i w:val="0"/>
          <w:color w:val="7A2E2A"/>
          <w:sz w:val="26"/>
        </w:rPr>
        <w:t>Conditions d'utilisation</w:t>
      </w:r>
    </w:p>
    <w:p>
      <w:pPr>
        <w:spacing w:before="0" w:after="40" w:line="60" w:lineRule="auto"/>
      </w:pPr>
      <w:r>
        <w:rPr>
          <w:rFonts w:ascii="Calibri" w:hAnsi="Calibri"/>
          <w:b w:val="0"/>
          <w:i w:val="0"/>
          <w:color w:val="FFFFFF"/>
          <w:sz w:val="4"/>
        </w:rPr>
        <w:t xml:space="preserve"> </w:t>
      </w:r>
    </w:p>
    <w:p>
      <w:pPr>
        <w:spacing w:before="0" w:after="160" w:line="320" w:lineRule="auto"/>
        <w:jc w:val="both"/>
      </w:pPr>
      <w:r>
        <w:rPr>
          <w:rFonts w:ascii="Calibri" w:hAnsi="Calibri"/>
          <w:b w:val="0"/>
          <w:i w:val="0"/>
          <w:color w:val="2A3050"/>
          <w:sz w:val="22"/>
        </w:rPr>
        <w:t>La couverture peut être reproduite pour annoncer, présenter ou chroniquer Goodbye, Tel Aviv, sans modification du visuel et avec la mention « Visuel fourni par l'auteur - michaelbrenner.fr ». Les citations de l'entretien figurant dans ce dossier peuvent être reprises avec attribution. Pour un extrait plus long du livre, merci de demander l'autorisation à l'auteur.</w:t>
      </w:r>
    </w:p>
    <w:p>
      <w:pPr>
        <w:pStyle w:val="Heading2"/>
        <w:keepNext/>
        <w:spacing w:before="240" w:after="120"/>
      </w:pPr>
      <w:r>
        <w:rPr>
          <w:rFonts w:ascii="Calibri" w:hAnsi="Calibri"/>
          <w:b/>
          <w:i w:val="0"/>
          <w:color w:val="7A2E2A"/>
          <w:sz w:val="26"/>
        </w:rPr>
        <w:t>Note éditoriale</w:t>
      </w:r>
    </w:p>
    <w:p>
      <w:pPr>
        <w:spacing w:before="0" w:after="160" w:line="320" w:lineRule="auto"/>
        <w:jc w:val="both"/>
      </w:pPr>
      <w:r>
        <w:rPr>
          <w:rFonts w:ascii="Calibri" w:hAnsi="Calibri"/>
          <w:b w:val="0"/>
          <w:i w:val="0"/>
          <w:color w:val="2A3050"/>
          <w:sz w:val="22"/>
        </w:rPr>
        <w:t>Goodbye, Tel Aviv s'inspire d'une histoire vécue. Les noms des protagonistes ont été modifiés. Le livre exprime une expérience individuelle et ne prétend pas représenter tous les parcours franco-israéliens.</w:t>
      </w:r>
    </w:p>
    <w:p>
      <w:pPr>
        <w:pStyle w:val="Heading2"/>
        <w:keepNext/>
        <w:spacing w:before="240" w:after="120"/>
      </w:pPr>
      <w:r>
        <w:rPr>
          <w:rFonts w:ascii="Calibri" w:hAnsi="Calibri"/>
          <w:b/>
          <w:i w:val="0"/>
          <w:color w:val="7A2E2A"/>
          <w:sz w:val="26"/>
        </w:rPr>
        <w:t>Liens directs</w:t>
      </w:r>
    </w:p>
    <w:p>
      <w:pPr>
        <w:spacing w:after="100"/>
      </w:pPr>
      <w:hyperlink r:id="rId15">
        <w:r>
          <w:rPr>
            <w:rFonts w:ascii="Calibri" w:hAnsi="Calibri"/>
            <w:color w:val="1B2554"/>
            <w:sz w:val="22"/>
            <w:b/>
            <w:u w:val="single"/>
          </w:rPr>
          <w:t>Page du livre</w:t>
        </w:r>
      </w:hyperlink>
      <w:r>
        <w:rPr>
          <w:rFonts w:ascii="Calibri" w:hAnsi="Calibri"/>
          <w:b w:val="0"/>
          <w:i w:val="0"/>
          <w:color w:val="696E84"/>
          <w:sz w:val="22"/>
        </w:rPr>
        <w:t xml:space="preserve">  |  </w:t>
      </w:r>
      <w:hyperlink r:id="rId16">
        <w:r>
          <w:rPr>
            <w:rFonts w:ascii="Calibri" w:hAnsi="Calibri"/>
            <w:color w:val="1B2554"/>
            <w:sz w:val="22"/>
            <w:b/>
            <w:u w:val="single"/>
          </w:rPr>
          <w:t>Entretien intégral</w:t>
        </w:r>
      </w:hyperlink>
    </w:p>
    <w:p>
      <w:pPr>
        <w:spacing w:after="300"/>
      </w:pPr>
      <w:hyperlink r:id="rId14">
        <w:r>
          <w:rPr>
            <w:rFonts w:ascii="Calibri" w:hAnsi="Calibri"/>
            <w:color w:val="1B2554"/>
            <w:sz w:val="22"/>
            <w:b/>
            <w:u w:val="single"/>
          </w:rPr>
          <w:t>Contact presse</w:t>
        </w:r>
      </w:hyperlink>
    </w:p>
    <w:p>
      <w:pPr>
        <w:spacing w:before="140" w:after="200" w:line="288" w:lineRule="auto"/>
        <w:ind w:left="454" w:right="227"/>
        <w:pBdr>
          <w:left w:val="single" w:sz="16" w:space="12" w:color="7A2E2A"/>
        </w:pBdr>
      </w:pPr>
      <w:r>
        <w:rPr>
          <w:rFonts w:ascii="Calibri" w:hAnsi="Calibri"/>
          <w:b w:val="0"/>
          <w:i/>
          <w:color w:val="1B2554"/>
          <w:sz w:val="27"/>
        </w:rPr>
        <w:t>“Que devient-on lorsque la vie que l'on avait rêvée ne tient pas ses promesses ?”</w:t>
      </w:r>
      <w:r>
        <w:rPr>
          <w:rFonts w:ascii="Calibri" w:hAnsi="Calibri"/>
          <w:b/>
          <w:i w:val="0"/>
          <w:color w:val="7A2E2A"/>
          <w:sz w:val="19"/>
        </w:rPr>
        <w:br/>
        <w:t>- Michael Brenner</w:t>
      </w:r>
    </w:p>
    <w:sectPr w:rsidR="00FC693F" w:rsidRPr="0006063C" w:rsidSect="00034616">
      <w:headerReference w:type="default" r:id="rId9"/>
      <w:headerReference w:type="first" r:id="rId10"/>
      <w:footerReference w:type="default" r:id="rId11"/>
      <w:footerReference w:type="first" r:id="rId12"/>
      <w:pgSz w:w="11906" w:h="16838"/>
      <w:pgMar w:top="1134" w:right="1134" w:bottom="1134" w:left="1134" w:header="708" w:footer="708"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spacing w:before="0"/>
      <w:jc w:val="center"/>
    </w:pPr>
    <w:r>
      <w:rPr>
        <w:rFonts w:ascii="Calibri" w:hAnsi="Calibri"/>
        <w:b w:val="0"/>
        <w:i w:val="0"/>
        <w:color w:val="696E84"/>
        <w:sz w:val="17"/>
      </w:rPr>
      <w:t xml:space="preserve">michaelbrenner.fr  |  contact@michaelbrenner.fr  |  </w:t>
    </w:r>
    <w:r>
      <w:rPr>
        <w:rFonts w:ascii="Calibri" w:hAnsi="Calibri"/>
        <w:b w:val="0"/>
        <w:i w:val="0"/>
        <w:color w:val="696E84"/>
        <w:sz w:val="17"/>
      </w:rPr>
      <w:fldChar w:fldCharType="begin"/>
      <w:instrText xml:space="preserve">PAGE</w:instrText>
      <w:fldChar w:fldCharType="separate"/>
      <w:t>1</w:t>
      <w:fldChar w:fldCharType="end"/>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Calibri" w:hAnsi="Calibri"/>
        <w:b/>
        <w:i w:val="0"/>
        <w:color w:val="696E84"/>
        <w:sz w:val="17"/>
      </w:rPr>
      <w:t>MICHAELBRENNER.FR  |  CONTACT@MICHAELBRENNER.FR</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spacing w:after="0"/>
      <w:jc w:val="right"/>
    </w:pPr>
    <w:r>
      <w:rPr>
        <w:rFonts w:ascii="Calibri" w:hAnsi="Calibri"/>
        <w:b/>
        <w:i w:val="0"/>
        <w:color w:val="696E84"/>
        <w:sz w:val="17"/>
      </w:rPr>
      <w:t>DOSSIER DE PRESSE  |  GOODBYE, TEL AVIV - VOLUME I</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60" w:line="320" w:lineRule="auto"/>
    </w:pPr>
    <w:rPr>
      <w:rFonts w:ascii="Calibri" w:hAnsi="Calibri"/>
      <w:color w:val="2A3050"/>
      <w:sz w:val="2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60" w:after="200"/>
      <w:outlineLvl w:val="0"/>
    </w:pPr>
    <w:rPr>
      <w:rFonts w:asciiTheme="majorHAnsi" w:eastAsiaTheme="majorEastAsia" w:hAnsiTheme="majorHAnsi" w:cstheme="majorBidi" w:ascii="Calibri" w:hAnsi="Calibri"/>
      <w:b/>
      <w:bCs/>
      <w:color w:val="1B2554"/>
      <w:sz w:val="36"/>
      <w:szCs w:val="28"/>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Calibri" w:hAnsi="Calibri"/>
      <w:b/>
      <w:bCs/>
      <w:color w:val="7A2E2A"/>
      <w:sz w:val="26"/>
      <w:szCs w:val="26"/>
    </w:rPr>
  </w:style>
  <w:style w:type="paragraph" w:styleId="Heading3">
    <w:name w:val="heading 3"/>
    <w:basedOn w:val="Normal"/>
    <w:next w:val="Normal"/>
    <w:link w:val="Heading3Char"/>
    <w:uiPriority w:val="9"/>
    <w:unhideWhenUsed/>
    <w:qFormat/>
    <w:rsid w:val="00FC693F"/>
    <w:pPr>
      <w:keepNext/>
      <w:keepLines/>
      <w:spacing w:before="160" w:after="80"/>
      <w:outlineLvl w:val="2"/>
    </w:pPr>
    <w:rPr>
      <w:rFonts w:asciiTheme="majorHAnsi" w:eastAsiaTheme="majorEastAsia" w:hAnsiTheme="majorHAnsi" w:cstheme="majorBidi" w:ascii="Calibri" w:hAnsi="Calibri"/>
      <w:b/>
      <w:bCs/>
      <w:color w:val="1B2554"/>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image" Target="media/image1.png"/><Relationship Id="rId14" Type="http://schemas.openxmlformats.org/officeDocument/2006/relationships/hyperlink" Target="mailto:contact@michaelbrenner.fr" TargetMode="External"/><Relationship Id="rId15" Type="http://schemas.openxmlformats.org/officeDocument/2006/relationships/hyperlink" Target="https://michaelbrenner.fr/goodbye-tel-aviv/" TargetMode="External"/><Relationship Id="rId16" Type="http://schemas.openxmlformats.org/officeDocument/2006/relationships/hyperlink" Target="https://michaelbrenner.fr/interview-michael-brenner/" TargetMode="External"/><Relationship Id="rId17" Type="http://schemas.openxmlformats.org/officeDocument/2006/relationships/hyperlink" Target="https://michaelbrenner.f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Dossier de presse - Goodbye, Tel Aviv - Volume I</dc:title>
  <dc:subject>Roman autobiographique de Michael Brenner</dc:subject>
  <dc:creator>Michael Brenner</dc:creator>
  <cp:keywords>Goodbye Tel Aviv, Volume I, Michael Brenner, roman autobiographique, Israël, exil, identité</cp:keywords>
  <dc:description>Kit presse officiel - michaelbrenner.fr</dc:description>
  <cp:lastModifiedBy/>
  <cp:revision>1</cp:revision>
  <dcterms:created xsi:type="dcterms:W3CDTF">2013-12-23T23:15:00Z</dcterms:created>
  <dcterms:modified xsi:type="dcterms:W3CDTF">2013-12-23T23:15:00Z</dcterms:modified>
  <cp:category/>
</cp:coreProperties>
</file>